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8D38E" w14:textId="77777777" w:rsidR="004A1C64" w:rsidRDefault="004A1C64" w:rsidP="0010375A">
      <w:pPr>
        <w:ind w:right="288"/>
        <w:jc w:val="both"/>
      </w:pPr>
    </w:p>
    <w:p w14:paraId="6018D11D" w14:textId="77777777" w:rsidR="004A1C64" w:rsidRDefault="004A1C64" w:rsidP="0010375A">
      <w:pPr>
        <w:ind w:right="288"/>
        <w:jc w:val="both"/>
      </w:pPr>
    </w:p>
    <w:p w14:paraId="331B4045" w14:textId="77777777" w:rsidR="004A1C64" w:rsidRDefault="004A1C64" w:rsidP="0010375A">
      <w:pPr>
        <w:ind w:right="288"/>
        <w:jc w:val="both"/>
      </w:pPr>
    </w:p>
    <w:p w14:paraId="377D5EC6" w14:textId="77777777" w:rsidR="004A1C64" w:rsidRDefault="000471B2" w:rsidP="0010375A">
      <w:pPr>
        <w:ind w:right="288"/>
        <w:jc w:val="both"/>
      </w:pPr>
      <w:r>
        <w:rPr>
          <w:noProof/>
        </w:rPr>
        <w:drawing>
          <wp:inline distT="0" distB="0" distL="0" distR="0" wp14:anchorId="0478AE83" wp14:editId="24CB7E1B">
            <wp:extent cx="990600" cy="1289488"/>
            <wp:effectExtent l="0" t="0" r="0" b="6350"/>
            <wp:docPr id="1" name="Picture 1" descr="head shot[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 shot[1][1]"/>
                    <pic:cNvPicPr>
                      <a:picLocks noChangeAspect="1" noChangeArrowheads="1"/>
                    </pic:cNvPicPr>
                  </pic:nvPicPr>
                  <pic:blipFill>
                    <a:blip r:embed="rId4" cstate="print"/>
                    <a:srcRect/>
                    <a:stretch>
                      <a:fillRect/>
                    </a:stretch>
                  </pic:blipFill>
                  <pic:spPr bwMode="auto">
                    <a:xfrm>
                      <a:off x="0" y="0"/>
                      <a:ext cx="993118" cy="1292765"/>
                    </a:xfrm>
                    <a:prstGeom prst="rect">
                      <a:avLst/>
                    </a:prstGeom>
                    <a:noFill/>
                    <a:ln w="9525">
                      <a:noFill/>
                      <a:miter lim="800000"/>
                      <a:headEnd/>
                      <a:tailEnd/>
                    </a:ln>
                  </pic:spPr>
                </pic:pic>
              </a:graphicData>
            </a:graphic>
          </wp:inline>
        </w:drawing>
      </w:r>
    </w:p>
    <w:p w14:paraId="5FA9A540" w14:textId="77777777" w:rsidR="004A1C64" w:rsidRDefault="004A1C64" w:rsidP="0010375A">
      <w:pPr>
        <w:ind w:right="288"/>
        <w:jc w:val="both"/>
      </w:pPr>
    </w:p>
    <w:p w14:paraId="0A35617E" w14:textId="12F00F72" w:rsidR="003F003F" w:rsidRPr="003F003F" w:rsidRDefault="008A1025" w:rsidP="00B30A34">
      <w:pPr>
        <w:ind w:right="288"/>
      </w:pPr>
      <w:r w:rsidRPr="008A1025">
        <w:t>Eddy Lang</w:t>
      </w:r>
      <w:r w:rsidR="0008467A">
        <w:t xml:space="preserve"> is a P</w:t>
      </w:r>
      <w:r w:rsidR="0008467A" w:rsidRPr="0008467A">
        <w:t xml:space="preserve">rofessor and Department Head for Emergency Medicine </w:t>
      </w:r>
      <w:r w:rsidR="0008467A">
        <w:t xml:space="preserve">at </w:t>
      </w:r>
      <w:r w:rsidR="00375469">
        <w:t xml:space="preserve">Cumming School of Medicine- </w:t>
      </w:r>
      <w:r w:rsidR="0008467A" w:rsidRPr="0008467A">
        <w:t xml:space="preserve">University of Calgary </w:t>
      </w:r>
      <w:r w:rsidR="0008467A">
        <w:t xml:space="preserve">and </w:t>
      </w:r>
      <w:r w:rsidR="0008467A" w:rsidRPr="0008467A">
        <w:t>Alberta Health Services, Calgary Zone</w:t>
      </w:r>
      <w:r w:rsidR="00261549">
        <w:t xml:space="preserve">. </w:t>
      </w:r>
      <w:r w:rsidR="003F003F">
        <w:t>His areas of interest are knowledge translation, evidence-based medicine and operations research</w:t>
      </w:r>
      <w:r w:rsidR="0010375A">
        <w:t>.</w:t>
      </w:r>
      <w:r w:rsidR="003F003F">
        <w:t xml:space="preserve"> </w:t>
      </w:r>
      <w:r w:rsidR="00B30A34">
        <w:t>He</w:t>
      </w:r>
      <w:r w:rsidR="00754784">
        <w:t xml:space="preserve"> is a member of the GRADE working group and has led the development of GRADE-based clinical practice guidelines in pre-hospital care in the US</w:t>
      </w:r>
      <w:r w:rsidR="00C37488">
        <w:t xml:space="preserve"> as well as with the International Liaison Committee for Resuscitation</w:t>
      </w:r>
      <w:r w:rsidR="00754784">
        <w:t xml:space="preserve">.  </w:t>
      </w:r>
      <w:r w:rsidR="003F003F" w:rsidRPr="003F003F">
        <w:t xml:space="preserve">Dr. Lang is also an award-winning educator having received recognition at both the university, national and international levels.  He also serves as </w:t>
      </w:r>
      <w:r w:rsidR="004E659E">
        <w:t xml:space="preserve">Senior Editor </w:t>
      </w:r>
      <w:r w:rsidR="003F003F" w:rsidRPr="003F003F">
        <w:t>for the Canadian Journal of Emergency Medicine</w:t>
      </w:r>
      <w:r w:rsidR="00754784">
        <w:t xml:space="preserve">, </w:t>
      </w:r>
      <w:r w:rsidR="004E659E">
        <w:t xml:space="preserve">Associate Editor for both </w:t>
      </w:r>
      <w:r w:rsidR="00754784">
        <w:t>ACP Journal Club</w:t>
      </w:r>
      <w:r w:rsidR="003F003F" w:rsidRPr="003F003F">
        <w:t xml:space="preserve"> and </w:t>
      </w:r>
      <w:r w:rsidR="00A7746F">
        <w:t xml:space="preserve">the International Journal of </w:t>
      </w:r>
      <w:r w:rsidR="003F003F" w:rsidRPr="003F003F">
        <w:t>Emergency Medicine.</w:t>
      </w:r>
      <w:r w:rsidR="00326565">
        <w:t xml:space="preserve"> In addition, he is a member of the Canadian Task Force on Preventive Health Care (CTFPHC</w:t>
      </w:r>
      <w:r w:rsidR="002245D9">
        <w:t>)</w:t>
      </w:r>
      <w:r w:rsidR="00FA646B">
        <w:t>.</w:t>
      </w:r>
      <w:r w:rsidR="00923E19" w:rsidRPr="00923E19">
        <w:t xml:space="preserve"> Dr. Lang chaired the Canadian Association of Emergency Phy</w:t>
      </w:r>
      <w:r w:rsidR="00923E19">
        <w:t xml:space="preserve">sicians Conference (CAEP) 2018 and he </w:t>
      </w:r>
      <w:r w:rsidR="00E40C9C">
        <w:t xml:space="preserve">was </w:t>
      </w:r>
      <w:r w:rsidR="0049485D">
        <w:t xml:space="preserve">appointed as the </w:t>
      </w:r>
      <w:r w:rsidR="0049485D" w:rsidRPr="0049485D">
        <w:t>Scientific Director of the</w:t>
      </w:r>
      <w:r w:rsidR="0049485D">
        <w:t xml:space="preserve"> </w:t>
      </w:r>
      <w:r w:rsidR="0049485D" w:rsidRPr="0049485D">
        <w:t>Emergency Strategic Clinical Network ESCN</w:t>
      </w:r>
      <w:r w:rsidR="0049485D">
        <w:t xml:space="preserve"> in Alberta</w:t>
      </w:r>
      <w:r w:rsidR="0049485D" w:rsidRPr="0049485D">
        <w:t>.</w:t>
      </w:r>
      <w:r w:rsidR="00C41FFB">
        <w:t xml:space="preserve">  Dr. Lang is co-Chairing the 2022 Preventing Overdiagnosis Conference in Calgary.</w:t>
      </w:r>
    </w:p>
    <w:p w14:paraId="3CE9DF10" w14:textId="77777777" w:rsidR="003F003F" w:rsidRDefault="003F003F" w:rsidP="00B30A34">
      <w:pPr>
        <w:ind w:right="288"/>
      </w:pPr>
    </w:p>
    <w:p w14:paraId="731F3CCE" w14:textId="77777777" w:rsidR="003F003F" w:rsidRDefault="003F003F" w:rsidP="00B30A34">
      <w:pPr>
        <w:ind w:right="288"/>
      </w:pPr>
    </w:p>
    <w:p w14:paraId="106C9C6E" w14:textId="77777777" w:rsidR="003F003F" w:rsidRDefault="003F003F" w:rsidP="00B30A34">
      <w:pPr>
        <w:ind w:right="288"/>
      </w:pPr>
    </w:p>
    <w:p w14:paraId="31B9E986" w14:textId="77777777" w:rsidR="003F003F" w:rsidRDefault="003F003F" w:rsidP="00B30A34">
      <w:pPr>
        <w:ind w:right="288"/>
      </w:pPr>
    </w:p>
    <w:p w14:paraId="4440910C" w14:textId="77777777" w:rsidR="003F003F" w:rsidRDefault="003F003F" w:rsidP="00B30A34">
      <w:pPr>
        <w:ind w:right="288"/>
      </w:pPr>
    </w:p>
    <w:p w14:paraId="7C094B41" w14:textId="77777777" w:rsidR="008A1025" w:rsidRDefault="008A1025" w:rsidP="00B30A34">
      <w:pPr>
        <w:ind w:right="288"/>
        <w:rPr>
          <w:rFonts w:ascii="Arial" w:hAnsi="Arial" w:cs="Arial"/>
        </w:rPr>
      </w:pPr>
    </w:p>
    <w:p w14:paraId="0B98EAE9" w14:textId="77777777" w:rsidR="008A1025" w:rsidRPr="008A1025" w:rsidRDefault="008A1025" w:rsidP="00B30A34">
      <w:pPr>
        <w:ind w:right="288"/>
        <w:rPr>
          <w:sz w:val="22"/>
          <w:szCs w:val="22"/>
        </w:rPr>
      </w:pPr>
    </w:p>
    <w:sectPr w:rsidR="008A1025" w:rsidRPr="008A10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BE"/>
    <w:rsid w:val="0000221A"/>
    <w:rsid w:val="00003D30"/>
    <w:rsid w:val="00017C17"/>
    <w:rsid w:val="00027554"/>
    <w:rsid w:val="00035E05"/>
    <w:rsid w:val="000471B2"/>
    <w:rsid w:val="00055E8C"/>
    <w:rsid w:val="00074E58"/>
    <w:rsid w:val="0008467A"/>
    <w:rsid w:val="0010375A"/>
    <w:rsid w:val="00130649"/>
    <w:rsid w:val="00175C41"/>
    <w:rsid w:val="001C2C3B"/>
    <w:rsid w:val="001D6B23"/>
    <w:rsid w:val="001F17D8"/>
    <w:rsid w:val="00201A2B"/>
    <w:rsid w:val="00210D6C"/>
    <w:rsid w:val="002245D9"/>
    <w:rsid w:val="00261549"/>
    <w:rsid w:val="0027722F"/>
    <w:rsid w:val="00284EDD"/>
    <w:rsid w:val="002917F9"/>
    <w:rsid w:val="002918C5"/>
    <w:rsid w:val="002D5C6F"/>
    <w:rsid w:val="002E534E"/>
    <w:rsid w:val="002F044C"/>
    <w:rsid w:val="002F41A5"/>
    <w:rsid w:val="00326565"/>
    <w:rsid w:val="003348E6"/>
    <w:rsid w:val="00345DB9"/>
    <w:rsid w:val="0036753C"/>
    <w:rsid w:val="00375469"/>
    <w:rsid w:val="003B212F"/>
    <w:rsid w:val="003B658A"/>
    <w:rsid w:val="003B6B2B"/>
    <w:rsid w:val="003F003F"/>
    <w:rsid w:val="004204DF"/>
    <w:rsid w:val="00437CBE"/>
    <w:rsid w:val="00445411"/>
    <w:rsid w:val="004562D2"/>
    <w:rsid w:val="0049485D"/>
    <w:rsid w:val="004A1C64"/>
    <w:rsid w:val="004C36D8"/>
    <w:rsid w:val="004E659E"/>
    <w:rsid w:val="0050238D"/>
    <w:rsid w:val="005115B1"/>
    <w:rsid w:val="00514F98"/>
    <w:rsid w:val="0052188B"/>
    <w:rsid w:val="0053002D"/>
    <w:rsid w:val="00536C0A"/>
    <w:rsid w:val="00542B1E"/>
    <w:rsid w:val="005862B0"/>
    <w:rsid w:val="005D4FE4"/>
    <w:rsid w:val="005D5BB2"/>
    <w:rsid w:val="005F6551"/>
    <w:rsid w:val="00620600"/>
    <w:rsid w:val="006247B8"/>
    <w:rsid w:val="006518A2"/>
    <w:rsid w:val="00680B92"/>
    <w:rsid w:val="0069046C"/>
    <w:rsid w:val="00693022"/>
    <w:rsid w:val="006F283D"/>
    <w:rsid w:val="006F3202"/>
    <w:rsid w:val="007030B2"/>
    <w:rsid w:val="00714724"/>
    <w:rsid w:val="00754784"/>
    <w:rsid w:val="00796E64"/>
    <w:rsid w:val="007D07F3"/>
    <w:rsid w:val="007E1BE7"/>
    <w:rsid w:val="007E39F1"/>
    <w:rsid w:val="008634DF"/>
    <w:rsid w:val="00877BC4"/>
    <w:rsid w:val="008876A0"/>
    <w:rsid w:val="00897F85"/>
    <w:rsid w:val="008A1025"/>
    <w:rsid w:val="008E46E9"/>
    <w:rsid w:val="008F01C6"/>
    <w:rsid w:val="008F73F6"/>
    <w:rsid w:val="00905C77"/>
    <w:rsid w:val="00914536"/>
    <w:rsid w:val="00923E19"/>
    <w:rsid w:val="00932C4D"/>
    <w:rsid w:val="0094060C"/>
    <w:rsid w:val="00950369"/>
    <w:rsid w:val="0095587A"/>
    <w:rsid w:val="009B395C"/>
    <w:rsid w:val="009D2CA2"/>
    <w:rsid w:val="009F194C"/>
    <w:rsid w:val="00A036B8"/>
    <w:rsid w:val="00A04B54"/>
    <w:rsid w:val="00A16C99"/>
    <w:rsid w:val="00A226A4"/>
    <w:rsid w:val="00A2525D"/>
    <w:rsid w:val="00A31A0C"/>
    <w:rsid w:val="00A547C3"/>
    <w:rsid w:val="00A7746F"/>
    <w:rsid w:val="00AB68BE"/>
    <w:rsid w:val="00AC5A75"/>
    <w:rsid w:val="00AF12C4"/>
    <w:rsid w:val="00B30A34"/>
    <w:rsid w:val="00B63607"/>
    <w:rsid w:val="00B67E39"/>
    <w:rsid w:val="00B71342"/>
    <w:rsid w:val="00B72F21"/>
    <w:rsid w:val="00B913F6"/>
    <w:rsid w:val="00C01F29"/>
    <w:rsid w:val="00C03CDC"/>
    <w:rsid w:val="00C10253"/>
    <w:rsid w:val="00C14AA5"/>
    <w:rsid w:val="00C37488"/>
    <w:rsid w:val="00C41FFB"/>
    <w:rsid w:val="00C92E5A"/>
    <w:rsid w:val="00CE6267"/>
    <w:rsid w:val="00CF6D6E"/>
    <w:rsid w:val="00D2268D"/>
    <w:rsid w:val="00D6367D"/>
    <w:rsid w:val="00D65C62"/>
    <w:rsid w:val="00D65E93"/>
    <w:rsid w:val="00DC3E27"/>
    <w:rsid w:val="00DE1817"/>
    <w:rsid w:val="00DF7374"/>
    <w:rsid w:val="00E1432C"/>
    <w:rsid w:val="00E40C9C"/>
    <w:rsid w:val="00E66EBB"/>
    <w:rsid w:val="00E70CC4"/>
    <w:rsid w:val="00F07F4F"/>
    <w:rsid w:val="00FA4634"/>
    <w:rsid w:val="00FA646B"/>
    <w:rsid w:val="00FB4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9BB24"/>
  <w15:docId w15:val="{E08494D5-FEC8-455A-8133-3CDD31F5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CBE"/>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37488"/>
    <w:rPr>
      <w:rFonts w:ascii="Tahoma" w:hAnsi="Tahoma" w:cs="Tahoma"/>
      <w:sz w:val="16"/>
      <w:szCs w:val="16"/>
    </w:rPr>
  </w:style>
  <w:style w:type="character" w:customStyle="1" w:styleId="BalloonTextChar">
    <w:name w:val="Balloon Text Char"/>
    <w:basedOn w:val="DefaultParagraphFont"/>
    <w:link w:val="BalloonText"/>
    <w:rsid w:val="00C374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85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 have extensive experience teaching EBM in workshop and other venues and serves as regular faculty at the EBM workshop at McMaster University, workshops given at the New York Academy of Medicine and elsewhere and has organized a series of comparable edu</vt:lpstr>
    </vt:vector>
  </TitlesOfParts>
  <Company>Calgary Health Region</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have extensive experience teaching EBM in workshop and other venues and serves as regular faculty at the EBM workshop at McMaster University, workshops given at the New York Academy of Medicine and elsewhere and has organized a series of comparable edu</dc:title>
  <dc:creator>elang</dc:creator>
  <cp:lastModifiedBy>Eddy Lang</cp:lastModifiedBy>
  <cp:revision>2</cp:revision>
  <dcterms:created xsi:type="dcterms:W3CDTF">2021-02-24T04:48:00Z</dcterms:created>
  <dcterms:modified xsi:type="dcterms:W3CDTF">2021-02-24T04:48:00Z</dcterms:modified>
</cp:coreProperties>
</file>