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996E" w14:textId="7B378B1C" w:rsidR="006C5A1C" w:rsidRPr="00BF6174" w:rsidRDefault="006C5A1C" w:rsidP="006C5A1C">
      <w:pPr>
        <w:spacing w:after="0"/>
        <w:ind w:right="2364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00722088">
        <w:rPr>
          <w:rFonts w:ascii="Aptos" w:eastAsia="Aptos" w:hAnsi="Aptos" w:cs="Aptos"/>
          <w:b/>
          <w:bCs/>
          <w:sz w:val="20"/>
          <w:szCs w:val="20"/>
        </w:rPr>
        <w:tab/>
      </w:r>
      <w:r w:rsidRPr="00722088">
        <w:rPr>
          <w:rFonts w:ascii="Aptos" w:eastAsia="Aptos" w:hAnsi="Aptos" w:cs="Aptos"/>
          <w:b/>
          <w:bCs/>
          <w:sz w:val="20"/>
          <w:szCs w:val="20"/>
        </w:rPr>
        <w:tab/>
      </w:r>
      <w:r w:rsidRPr="00722088">
        <w:rPr>
          <w:rFonts w:ascii="Aptos" w:eastAsia="Aptos" w:hAnsi="Aptos" w:cs="Aptos"/>
          <w:b/>
          <w:bCs/>
          <w:sz w:val="20"/>
          <w:szCs w:val="20"/>
        </w:rPr>
        <w:tab/>
      </w:r>
      <w:r w:rsidR="0005335B" w:rsidRPr="00BF6174">
        <w:rPr>
          <w:rFonts w:ascii="Aptos" w:eastAsia="Aptos" w:hAnsi="Aptos" w:cs="Aptos"/>
          <w:b/>
          <w:bCs/>
          <w:sz w:val="28"/>
          <w:szCs w:val="28"/>
        </w:rPr>
        <w:t>Ways to give</w:t>
      </w:r>
      <w:r w:rsidR="00BF6174" w:rsidRPr="00BF6174">
        <w:rPr>
          <w:rFonts w:ascii="Aptos" w:eastAsia="Aptos" w:hAnsi="Aptos" w:cs="Aptos"/>
          <w:b/>
          <w:bCs/>
          <w:sz w:val="28"/>
          <w:szCs w:val="28"/>
        </w:rPr>
        <w:t xml:space="preserve"> to </w:t>
      </w:r>
      <w:r w:rsidR="009776A1" w:rsidRPr="00BF6174">
        <w:rPr>
          <w:rFonts w:ascii="Aptos" w:eastAsia="Aptos" w:hAnsi="Aptos" w:cs="Aptos"/>
          <w:b/>
          <w:bCs/>
          <w:sz w:val="28"/>
          <w:szCs w:val="28"/>
        </w:rPr>
        <w:t>The Rotary</w:t>
      </w:r>
      <w:r w:rsidRPr="00BF6174">
        <w:rPr>
          <w:rFonts w:ascii="Aptos" w:eastAsia="Aptos" w:hAnsi="Aptos" w:cs="Aptos"/>
          <w:b/>
          <w:bCs/>
          <w:sz w:val="28"/>
          <w:szCs w:val="28"/>
        </w:rPr>
        <w:t xml:space="preserve"> Foundation </w:t>
      </w:r>
    </w:p>
    <w:p w14:paraId="5B0B3E23" w14:textId="77777777" w:rsidR="006C5A1C" w:rsidRPr="00AE3AC2" w:rsidRDefault="006C5A1C" w:rsidP="006C5A1C">
      <w:pPr>
        <w:spacing w:after="0"/>
        <w:ind w:right="2364"/>
        <w:rPr>
          <w:rFonts w:ascii="Aptos" w:eastAsia="Aptos" w:hAnsi="Aptos" w:cs="Aptos"/>
          <w:sz w:val="20"/>
          <w:szCs w:val="20"/>
        </w:rPr>
      </w:pPr>
    </w:p>
    <w:tbl>
      <w:tblPr>
        <w:tblStyle w:val="TableGrid"/>
        <w:tblW w:w="113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965"/>
        <w:gridCol w:w="8370"/>
      </w:tblGrid>
      <w:tr w:rsidR="006A455D" w:rsidRPr="00AE3AC2" w14:paraId="68732B9F" w14:textId="77777777" w:rsidTr="00B4231C">
        <w:trPr>
          <w:trHeight w:val="265"/>
        </w:trPr>
        <w:tc>
          <w:tcPr>
            <w:tcW w:w="2965" w:type="dxa"/>
          </w:tcPr>
          <w:p w14:paraId="4D444065" w14:textId="5CF39296" w:rsidR="006A455D" w:rsidRPr="008278A4" w:rsidRDefault="008278A4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8278A4">
              <w:rPr>
                <w:rFonts w:ascii="Aptos" w:eastAsia="Aptos" w:hAnsi="Aptos" w:cs="Aptos"/>
                <w:b/>
                <w:bCs/>
                <w:sz w:val="20"/>
                <w:szCs w:val="20"/>
              </w:rPr>
              <w:t>FUNDING OPTIONS</w:t>
            </w:r>
          </w:p>
        </w:tc>
        <w:tc>
          <w:tcPr>
            <w:tcW w:w="8370" w:type="dxa"/>
          </w:tcPr>
          <w:p w14:paraId="4E673543" w14:textId="4CFEC198" w:rsidR="006A455D" w:rsidRPr="002E1643" w:rsidRDefault="002E164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2E1643">
              <w:rPr>
                <w:rFonts w:ascii="Aptos" w:eastAsia="Aptos" w:hAnsi="Aptos" w:cs="Aptos"/>
                <w:b/>
                <w:bCs/>
                <w:sz w:val="20"/>
                <w:szCs w:val="20"/>
              </w:rPr>
              <w:t>BRIEF DESCRIPTION W</w:t>
            </w:r>
            <w:r w:rsidR="00BA431F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</w:t>
            </w:r>
            <w:r w:rsidRPr="002E1643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TH RESOURCE LINKS</w:t>
            </w:r>
          </w:p>
        </w:tc>
      </w:tr>
      <w:tr w:rsidR="001E0D70" w:rsidRPr="00AE3AC2" w14:paraId="3144DF76" w14:textId="77777777" w:rsidTr="00B4231C">
        <w:trPr>
          <w:trHeight w:val="1140"/>
        </w:trPr>
        <w:tc>
          <w:tcPr>
            <w:tcW w:w="2965" w:type="dxa"/>
          </w:tcPr>
          <w:p w14:paraId="59590E43" w14:textId="33ED03F6" w:rsidR="001E0D70" w:rsidRPr="00AE3AC2" w:rsidRDefault="001E0D7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AE3AC2">
              <w:rPr>
                <w:rFonts w:ascii="Aptos" w:hAnsi="Aptos"/>
                <w:sz w:val="20"/>
                <w:szCs w:val="20"/>
              </w:rPr>
              <w:t>Donors can choose from Rotary’s Areas of Focus and Featured Causes</w:t>
            </w:r>
            <w:r w:rsidR="0088550A" w:rsidRPr="00AE3AC2">
              <w:rPr>
                <w:rFonts w:ascii="Aptos" w:hAnsi="Aptos"/>
                <w:sz w:val="20"/>
                <w:szCs w:val="20"/>
              </w:rPr>
              <w:t xml:space="preserve"> to direct their contributio</w:t>
            </w:r>
            <w:r w:rsidR="00CB25D8" w:rsidRPr="00AE3AC2">
              <w:rPr>
                <w:rFonts w:ascii="Aptos" w:hAnsi="Aptos"/>
                <w:sz w:val="20"/>
                <w:szCs w:val="20"/>
              </w:rPr>
              <w:t>ns</w:t>
            </w:r>
            <w:r w:rsidR="003F30E8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8370" w:type="dxa"/>
          </w:tcPr>
          <w:p w14:paraId="5BF06089" w14:textId="02E99874" w:rsidR="00A81FA4" w:rsidRDefault="00426149" w:rsidP="0088550A">
            <w:pPr>
              <w:spacing w:line="241" w:lineRule="auto"/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Individual c</w:t>
            </w:r>
            <w:r w:rsidR="001E0D70" w:rsidRPr="00AE3AC2">
              <w:rPr>
                <w:rFonts w:ascii="Aptos" w:eastAsia="Aptos" w:hAnsi="Aptos" w:cs="Aptos"/>
                <w:sz w:val="20"/>
                <w:szCs w:val="20"/>
              </w:rPr>
              <w:t>ontributions</w:t>
            </w:r>
            <w:r w:rsidR="00465BAD">
              <w:rPr>
                <w:rFonts w:ascii="Aptos" w:eastAsia="Aptos" w:hAnsi="Aptos" w:cs="Aptos"/>
                <w:sz w:val="20"/>
                <w:szCs w:val="20"/>
              </w:rPr>
              <w:t xml:space="preserve"> and</w:t>
            </w:r>
            <w:r w:rsidR="00B33525">
              <w:rPr>
                <w:rFonts w:ascii="Aptos" w:eastAsia="Aptos" w:hAnsi="Aptos" w:cs="Aptos"/>
                <w:sz w:val="20"/>
                <w:szCs w:val="20"/>
              </w:rPr>
              <w:t xml:space="preserve"> recurring gifts</w:t>
            </w:r>
            <w:r w:rsidR="001E0D70" w:rsidRPr="00AE3AC2">
              <w:rPr>
                <w:rFonts w:ascii="Aptos" w:eastAsia="Aptos" w:hAnsi="Aptos" w:cs="Aptos"/>
                <w:sz w:val="20"/>
                <w:szCs w:val="20"/>
              </w:rPr>
              <w:t xml:space="preserve"> to The Rotary Foundation may be made by credit card at </w:t>
            </w:r>
            <w:hyperlink r:id="rId5">
              <w:r w:rsidR="0088550A" w:rsidRPr="00AE3AC2">
                <w:rPr>
                  <w:rFonts w:ascii="Aptos" w:eastAsia="Aptos" w:hAnsi="Aptos" w:cs="Aptos"/>
                  <w:color w:val="467886"/>
                  <w:sz w:val="20"/>
                  <w:szCs w:val="20"/>
                  <w:u w:val="single" w:color="467886"/>
                </w:rPr>
                <w:t>Donate To The Rotary Foundation</w:t>
              </w:r>
            </w:hyperlink>
            <w:r w:rsidR="001E0D70" w:rsidRPr="00AE3AC2">
              <w:rPr>
                <w:rFonts w:ascii="Aptos" w:eastAsia="Aptos" w:hAnsi="Aptos" w:cs="Aptos"/>
                <w:sz w:val="20"/>
                <w:szCs w:val="20"/>
              </w:rPr>
              <w:t xml:space="preserve">. </w:t>
            </w:r>
          </w:p>
          <w:p w14:paraId="0CE1CC2A" w14:textId="57D81E2E" w:rsidR="00A81FA4" w:rsidRDefault="001E0D70" w:rsidP="0088550A">
            <w:pPr>
              <w:spacing w:line="241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You can also give by check or wire transfer using The Rotary Foundation Contribution Form available at </w:t>
            </w:r>
            <w:hyperlink r:id="rId6" w:history="1">
              <w:r w:rsidR="004B7F46" w:rsidRPr="004B7F46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www.myrotary.org</w:t>
              </w:r>
            </w:hyperlink>
            <w:r w:rsidR="003B7E1D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  <w:p w14:paraId="000EA097" w14:textId="2A07EB7C" w:rsidR="001E0D70" w:rsidRDefault="00D85FA1" w:rsidP="0088550A">
            <w:pPr>
              <w:spacing w:line="241" w:lineRule="auto"/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Your</w:t>
            </w:r>
            <w:r w:rsidR="00F12D64">
              <w:rPr>
                <w:rFonts w:ascii="Aptos" w:eastAsia="Aptos" w:hAnsi="Aptos" w:cs="Aptos"/>
                <w:sz w:val="20"/>
                <w:szCs w:val="20"/>
              </w:rPr>
              <w:t xml:space="preserve"> club Treasurer </w:t>
            </w:r>
            <w:r w:rsidR="001B6857">
              <w:rPr>
                <w:rFonts w:ascii="Aptos" w:eastAsia="Aptos" w:hAnsi="Aptos" w:cs="Aptos"/>
                <w:sz w:val="20"/>
                <w:szCs w:val="20"/>
              </w:rPr>
              <w:t xml:space="preserve">or Rotary Foundation Committee </w:t>
            </w:r>
            <w:r w:rsidR="00852034">
              <w:rPr>
                <w:rFonts w:ascii="Aptos" w:eastAsia="Aptos" w:hAnsi="Aptos" w:cs="Aptos"/>
                <w:sz w:val="20"/>
                <w:szCs w:val="20"/>
              </w:rPr>
              <w:t>chair are</w:t>
            </w:r>
            <w:r w:rsidR="00F12D64">
              <w:rPr>
                <w:rFonts w:ascii="Aptos" w:eastAsia="Aptos" w:hAnsi="Aptos" w:cs="Aptos"/>
                <w:sz w:val="20"/>
                <w:szCs w:val="20"/>
              </w:rPr>
              <w:t xml:space="preserve"> also </w:t>
            </w:r>
            <w:r w:rsidR="007B67AC">
              <w:rPr>
                <w:rFonts w:ascii="Aptos" w:eastAsia="Aptos" w:hAnsi="Aptos" w:cs="Aptos"/>
                <w:sz w:val="20"/>
                <w:szCs w:val="20"/>
              </w:rPr>
              <w:t>valuable resource</w:t>
            </w:r>
            <w:r w:rsidR="00852034">
              <w:rPr>
                <w:rFonts w:ascii="Aptos" w:eastAsia="Aptos" w:hAnsi="Aptos" w:cs="Aptos"/>
                <w:sz w:val="20"/>
                <w:szCs w:val="20"/>
              </w:rPr>
              <w:t>s</w:t>
            </w:r>
            <w:r w:rsidR="007B67AC">
              <w:rPr>
                <w:rFonts w:ascii="Aptos" w:eastAsia="Aptos" w:hAnsi="Aptos" w:cs="Aptos"/>
                <w:sz w:val="20"/>
                <w:szCs w:val="20"/>
              </w:rPr>
              <w:t xml:space="preserve"> for getting your questions about giving answered. </w:t>
            </w:r>
          </w:p>
          <w:p w14:paraId="4884FF59" w14:textId="30C92C8D" w:rsidR="00F15CD2" w:rsidRPr="00AE3AC2" w:rsidRDefault="00F15CD2" w:rsidP="0088550A">
            <w:pPr>
              <w:spacing w:line="241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8550A" w:rsidRPr="00E56BC0" w14:paraId="580787CF" w14:textId="77777777" w:rsidTr="00B4231C">
        <w:trPr>
          <w:trHeight w:val="231"/>
        </w:trPr>
        <w:tc>
          <w:tcPr>
            <w:tcW w:w="2965" w:type="dxa"/>
          </w:tcPr>
          <w:p w14:paraId="431645AE" w14:textId="3295EAC3" w:rsidR="0088550A" w:rsidRPr="006F46BE" w:rsidRDefault="006F46BE">
            <w:pPr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ptos" w:eastAsia="Aptos" w:hAnsi="Aptos" w:cs="Aptos"/>
                <w:b/>
                <w:bCs/>
                <w:i/>
                <w:iCs/>
                <w:sz w:val="20"/>
                <w:szCs w:val="20"/>
              </w:rPr>
              <w:t>FEATURED CAUSES</w:t>
            </w:r>
          </w:p>
        </w:tc>
        <w:tc>
          <w:tcPr>
            <w:tcW w:w="8370" w:type="dxa"/>
          </w:tcPr>
          <w:p w14:paraId="487BFF8C" w14:textId="77777777" w:rsidR="0088550A" w:rsidRPr="00E56BC0" w:rsidRDefault="0088550A" w:rsidP="0088550A">
            <w:pPr>
              <w:spacing w:line="241" w:lineRule="auto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</w:p>
        </w:tc>
      </w:tr>
      <w:tr w:rsidR="006A455D" w:rsidRPr="00AE3AC2" w14:paraId="481D259C" w14:textId="77777777" w:rsidTr="00B4231C">
        <w:trPr>
          <w:trHeight w:val="2292"/>
        </w:trPr>
        <w:tc>
          <w:tcPr>
            <w:tcW w:w="2965" w:type="dxa"/>
          </w:tcPr>
          <w:p w14:paraId="255D5C43" w14:textId="0D347AAE" w:rsidR="006A455D" w:rsidRPr="00AE3AC2" w:rsidRDefault="005762BA" w:rsidP="0088550A">
            <w:pPr>
              <w:tabs>
                <w:tab w:val="right" w:pos="3324"/>
              </w:tabs>
              <w:rPr>
                <w:rFonts w:ascii="Aptos" w:hAnsi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>Annual Fund-SHARE</w:t>
            </w:r>
          </w:p>
        </w:tc>
        <w:tc>
          <w:tcPr>
            <w:tcW w:w="8370" w:type="dxa"/>
          </w:tcPr>
          <w:p w14:paraId="428E7E18" w14:textId="57D194A6" w:rsidR="00134981" w:rsidRPr="004934B4" w:rsidRDefault="005762BA" w:rsidP="001B3235">
            <w:pPr>
              <w:spacing w:line="239" w:lineRule="auto"/>
              <w:rPr>
                <w:rFonts w:ascii="Aptos" w:hAnsi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Annual Fund-SHARE is the primary source of funding for a broad range of local and international Rotary Foundation </w:t>
            </w:r>
            <w:r w:rsidR="009317B7">
              <w:rPr>
                <w:rFonts w:ascii="Aptos" w:eastAsia="Aptos" w:hAnsi="Aptos" w:cs="Aptos"/>
                <w:sz w:val="20"/>
                <w:szCs w:val="20"/>
              </w:rPr>
              <w:t xml:space="preserve">humanitarian </w:t>
            </w:r>
            <w:r w:rsidR="00012BF7">
              <w:rPr>
                <w:rFonts w:ascii="Aptos" w:eastAsia="Aptos" w:hAnsi="Aptos" w:cs="Aptos"/>
                <w:sz w:val="20"/>
                <w:szCs w:val="20"/>
              </w:rPr>
              <w:t xml:space="preserve">grants and </w:t>
            </w: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activities. </w:t>
            </w:r>
            <w:r w:rsidR="009A16B4">
              <w:rPr>
                <w:rFonts w:ascii="Aptos" w:eastAsia="Aptos" w:hAnsi="Aptos" w:cs="Aptos"/>
                <w:sz w:val="20"/>
                <w:szCs w:val="20"/>
              </w:rPr>
              <w:t xml:space="preserve">Bozeman </w:t>
            </w:r>
            <w:r w:rsidR="009A16B4" w:rsidRPr="00AE3AC2">
              <w:rPr>
                <w:rFonts w:ascii="Aptos" w:eastAsia="Aptos" w:hAnsi="Aptos" w:cs="Aptos"/>
                <w:sz w:val="20"/>
                <w:szCs w:val="20"/>
              </w:rPr>
              <w:t xml:space="preserve">Sunrise Rotarians’ </w:t>
            </w:r>
            <w:r w:rsidR="009A16B4">
              <w:rPr>
                <w:rFonts w:ascii="Aptos" w:eastAsia="Aptos" w:hAnsi="Aptos" w:cs="Aptos"/>
                <w:sz w:val="20"/>
                <w:szCs w:val="20"/>
              </w:rPr>
              <w:t>quarterly</w:t>
            </w:r>
            <w:r w:rsidR="009A16B4" w:rsidRPr="00AE3AC2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033230B">
              <w:rPr>
                <w:rFonts w:ascii="Aptos" w:eastAsia="Aptos" w:hAnsi="Aptos" w:cs="Aptos"/>
                <w:sz w:val="20"/>
                <w:szCs w:val="20"/>
              </w:rPr>
              <w:t xml:space="preserve">Rotary Foundation </w:t>
            </w:r>
            <w:r w:rsidR="009A16B4" w:rsidRPr="00AE3AC2">
              <w:rPr>
                <w:rFonts w:ascii="Aptos" w:eastAsia="Aptos" w:hAnsi="Aptos" w:cs="Aptos"/>
                <w:sz w:val="20"/>
                <w:szCs w:val="20"/>
              </w:rPr>
              <w:t xml:space="preserve">Sustaining Member contributions are </w:t>
            </w:r>
            <w:r w:rsidR="009A16B4">
              <w:rPr>
                <w:rFonts w:ascii="Aptos" w:eastAsia="Aptos" w:hAnsi="Aptos" w:cs="Aptos"/>
                <w:sz w:val="20"/>
                <w:szCs w:val="20"/>
              </w:rPr>
              <w:t>directed</w:t>
            </w:r>
            <w:r w:rsidR="009A16B4" w:rsidRPr="00AE3AC2">
              <w:rPr>
                <w:rFonts w:ascii="Aptos" w:eastAsia="Aptos" w:hAnsi="Aptos" w:cs="Aptos"/>
                <w:sz w:val="20"/>
                <w:szCs w:val="20"/>
              </w:rPr>
              <w:t xml:space="preserve"> to </w:t>
            </w:r>
            <w:r w:rsidR="009A16B4">
              <w:rPr>
                <w:rFonts w:ascii="Aptos" w:eastAsia="Aptos" w:hAnsi="Aptos" w:cs="Aptos"/>
                <w:sz w:val="20"/>
                <w:szCs w:val="20"/>
              </w:rPr>
              <w:t>th</w:t>
            </w:r>
            <w:r w:rsidR="00134981">
              <w:rPr>
                <w:rFonts w:ascii="Aptos" w:eastAsia="Aptos" w:hAnsi="Aptos" w:cs="Aptos"/>
                <w:sz w:val="20"/>
                <w:szCs w:val="20"/>
              </w:rPr>
              <w:t>is</w:t>
            </w:r>
            <w:r w:rsidR="009A16B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09A16B4" w:rsidRPr="00AE3AC2">
              <w:rPr>
                <w:rFonts w:ascii="Aptos" w:eastAsia="Aptos" w:hAnsi="Aptos" w:cs="Aptos"/>
                <w:sz w:val="20"/>
                <w:szCs w:val="20"/>
              </w:rPr>
              <w:t xml:space="preserve">Annual Fund-SHARE </w:t>
            </w:r>
            <w:r w:rsidR="008144C8">
              <w:rPr>
                <w:rFonts w:ascii="Aptos" w:eastAsia="Aptos" w:hAnsi="Aptos" w:cs="Aptos"/>
                <w:sz w:val="20"/>
                <w:szCs w:val="20"/>
              </w:rPr>
              <w:t>program.</w:t>
            </w:r>
          </w:p>
          <w:p w14:paraId="5EB1F762" w14:textId="544662CB" w:rsidR="00E163A5" w:rsidRPr="002D6274" w:rsidRDefault="000D3048" w:rsidP="001B3235">
            <w:pPr>
              <w:spacing w:line="239" w:lineRule="auto"/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 xml:space="preserve">After </w:t>
            </w:r>
            <w:r w:rsidR="009A5738">
              <w:rPr>
                <w:rFonts w:ascii="Aptos" w:eastAsia="Aptos" w:hAnsi="Aptos" w:cs="Aptos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ptos" w:eastAsia="Aptos" w:hAnsi="Aptos" w:cs="Aptos"/>
                <w:sz w:val="20"/>
                <w:szCs w:val="20"/>
              </w:rPr>
              <w:t>3 year</w:t>
            </w:r>
            <w:proofErr w:type="gramEnd"/>
            <w:r w:rsidR="009A5738">
              <w:rPr>
                <w:rFonts w:ascii="Aptos" w:eastAsia="Aptos" w:hAnsi="Aptos" w:cs="Aptos"/>
                <w:sz w:val="20"/>
                <w:szCs w:val="20"/>
              </w:rPr>
              <w:t xml:space="preserve"> period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of use </w:t>
            </w:r>
            <w:r w:rsidR="009A5738">
              <w:rPr>
                <w:rFonts w:ascii="Aptos" w:eastAsia="Aptos" w:hAnsi="Aptos" w:cs="Aptos"/>
                <w:sz w:val="20"/>
                <w:szCs w:val="20"/>
              </w:rPr>
              <w:t xml:space="preserve">of </w:t>
            </w:r>
            <w:r w:rsidR="003C027D">
              <w:rPr>
                <w:rFonts w:ascii="Aptos" w:eastAsia="Aptos" w:hAnsi="Aptos" w:cs="Aptos"/>
                <w:sz w:val="20"/>
                <w:szCs w:val="20"/>
              </w:rPr>
              <w:t xml:space="preserve">these funds </w:t>
            </w:r>
            <w:r>
              <w:rPr>
                <w:rFonts w:ascii="Aptos" w:eastAsia="Aptos" w:hAnsi="Aptos" w:cs="Aptos"/>
                <w:sz w:val="20"/>
                <w:szCs w:val="20"/>
              </w:rPr>
              <w:t>by The Rotary Foundation</w:t>
            </w:r>
            <w:r w:rsidR="00E17185">
              <w:rPr>
                <w:rFonts w:ascii="Aptos" w:eastAsia="Aptos" w:hAnsi="Aptos" w:cs="Aptos"/>
                <w:sz w:val="20"/>
                <w:szCs w:val="20"/>
              </w:rPr>
              <w:t>, a</w:t>
            </w:r>
            <w:r w:rsidR="00D93A77">
              <w:rPr>
                <w:rFonts w:ascii="Aptos" w:eastAsia="Aptos" w:hAnsi="Aptos" w:cs="Aptos"/>
                <w:sz w:val="20"/>
                <w:szCs w:val="20"/>
              </w:rPr>
              <w:t xml:space="preserve">pproximately 50% </w:t>
            </w:r>
            <w:r w:rsidR="00955EE4">
              <w:rPr>
                <w:rFonts w:ascii="Aptos" w:eastAsia="Aptos" w:hAnsi="Aptos" w:cs="Aptos"/>
                <w:sz w:val="20"/>
                <w:szCs w:val="20"/>
              </w:rPr>
              <w:t xml:space="preserve">of </w:t>
            </w:r>
            <w:r w:rsidR="001B3868">
              <w:rPr>
                <w:rFonts w:ascii="Aptos" w:eastAsia="Aptos" w:hAnsi="Aptos" w:cs="Aptos"/>
                <w:sz w:val="20"/>
                <w:szCs w:val="20"/>
              </w:rPr>
              <w:t xml:space="preserve">the </w:t>
            </w:r>
            <w:r w:rsidR="00955EE4">
              <w:rPr>
                <w:rFonts w:ascii="Aptos" w:eastAsia="Aptos" w:hAnsi="Aptos" w:cs="Aptos"/>
                <w:sz w:val="20"/>
                <w:szCs w:val="20"/>
              </w:rPr>
              <w:t xml:space="preserve">funds collected </w:t>
            </w:r>
            <w:r w:rsidR="001B3868">
              <w:rPr>
                <w:rFonts w:ascii="Aptos" w:eastAsia="Aptos" w:hAnsi="Aptos" w:cs="Aptos"/>
                <w:sz w:val="20"/>
                <w:szCs w:val="20"/>
              </w:rPr>
              <w:t xml:space="preserve">worldwide </w:t>
            </w:r>
            <w:r w:rsidR="00955EE4">
              <w:rPr>
                <w:rFonts w:ascii="Aptos" w:eastAsia="Aptos" w:hAnsi="Aptos" w:cs="Aptos"/>
                <w:sz w:val="20"/>
                <w:szCs w:val="20"/>
              </w:rPr>
              <w:t>each year are “shared back”</w:t>
            </w:r>
            <w:r w:rsidR="008A237E">
              <w:rPr>
                <w:rFonts w:ascii="Aptos" w:eastAsia="Aptos" w:hAnsi="Aptos" w:cs="Aptos"/>
                <w:sz w:val="20"/>
                <w:szCs w:val="20"/>
              </w:rPr>
              <w:t xml:space="preserve"> to Rotary District</w:t>
            </w:r>
            <w:r>
              <w:rPr>
                <w:rFonts w:ascii="Aptos" w:eastAsia="Aptos" w:hAnsi="Aptos" w:cs="Aptos"/>
                <w:sz w:val="20"/>
                <w:szCs w:val="20"/>
              </w:rPr>
              <w:t>s</w:t>
            </w:r>
            <w:r w:rsidR="00E17185">
              <w:rPr>
                <w:rFonts w:ascii="Aptos" w:eastAsia="Aptos" w:hAnsi="Aptos" w:cs="Aptos"/>
                <w:sz w:val="20"/>
                <w:szCs w:val="20"/>
              </w:rPr>
              <w:t xml:space="preserve"> to be used to help finance local and international humanitarian grants</w:t>
            </w:r>
            <w:r w:rsidR="001B3235">
              <w:rPr>
                <w:rFonts w:ascii="Aptos" w:eastAsia="Aptos" w:hAnsi="Aptos" w:cs="Aptos"/>
                <w:sz w:val="20"/>
                <w:szCs w:val="20"/>
              </w:rPr>
              <w:t xml:space="preserve">. </w:t>
            </w:r>
            <w:r w:rsidR="00955EE4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19540A55" w14:textId="6B420475" w:rsidR="006A455D" w:rsidRPr="00AE3AC2" w:rsidRDefault="005B56C7" w:rsidP="001B3235">
            <w:pPr>
              <w:spacing w:line="239" w:lineRule="auto"/>
              <w:rPr>
                <w:rFonts w:ascii="Aptos" w:hAnsi="Aptos"/>
                <w:sz w:val="20"/>
                <w:szCs w:val="20"/>
              </w:rPr>
            </w:pPr>
            <w:hyperlink r:id="rId7">
              <w:r>
                <w:rPr>
                  <w:rFonts w:ascii="Aptos" w:eastAsia="Aptos" w:hAnsi="Aptos" w:cs="Aptos"/>
                  <w:color w:val="467886"/>
                  <w:sz w:val="20"/>
                  <w:szCs w:val="20"/>
                  <w:u w:val="single" w:color="467886"/>
                </w:rPr>
                <w:t>Learn More About Annual Fund-SHARE</w:t>
              </w:r>
            </w:hyperlink>
          </w:p>
        </w:tc>
      </w:tr>
      <w:tr w:rsidR="006A455D" w:rsidRPr="00D77891" w14:paraId="29B3337D" w14:textId="77777777" w:rsidTr="00B4231C">
        <w:trPr>
          <w:trHeight w:val="149"/>
        </w:trPr>
        <w:tc>
          <w:tcPr>
            <w:tcW w:w="2965" w:type="dxa"/>
          </w:tcPr>
          <w:p w14:paraId="2138BD7F" w14:textId="77777777" w:rsidR="006A455D" w:rsidRPr="00D77891" w:rsidRDefault="005762BA">
            <w:pPr>
              <w:rPr>
                <w:rFonts w:ascii="Aptos" w:hAnsi="Aptos"/>
                <w:sz w:val="16"/>
                <w:szCs w:val="16"/>
              </w:rPr>
            </w:pPr>
            <w:r w:rsidRPr="00D77891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8370" w:type="dxa"/>
          </w:tcPr>
          <w:p w14:paraId="18CA733A" w14:textId="77777777" w:rsidR="006A455D" w:rsidRPr="00D77891" w:rsidRDefault="005762BA">
            <w:pPr>
              <w:rPr>
                <w:rFonts w:ascii="Aptos" w:hAnsi="Aptos"/>
                <w:sz w:val="16"/>
                <w:szCs w:val="16"/>
              </w:rPr>
            </w:pPr>
            <w:r w:rsidRPr="00D77891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</w:tr>
      <w:tr w:rsidR="002D47BD" w:rsidRPr="00AE3AC2" w14:paraId="284D7757" w14:textId="77777777" w:rsidTr="00B4231C">
        <w:trPr>
          <w:trHeight w:val="1536"/>
        </w:trPr>
        <w:tc>
          <w:tcPr>
            <w:tcW w:w="2965" w:type="dxa"/>
          </w:tcPr>
          <w:p w14:paraId="0EDE0674" w14:textId="2853B031" w:rsidR="002D47BD" w:rsidRPr="00AE3AC2" w:rsidRDefault="002D47BD" w:rsidP="006B76BF">
            <w:pPr>
              <w:rPr>
                <w:rFonts w:ascii="Aptos" w:hAnsi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>Endowment-SHARE</w:t>
            </w:r>
          </w:p>
        </w:tc>
        <w:tc>
          <w:tcPr>
            <w:tcW w:w="8370" w:type="dxa"/>
          </w:tcPr>
          <w:p w14:paraId="2329F174" w14:textId="78C97523" w:rsidR="00694B63" w:rsidRPr="002D6274" w:rsidRDefault="002D47BD" w:rsidP="006B76BF">
            <w:pPr>
              <w:spacing w:line="24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>The Rotary Foundation Endowment ensures that future Rotary members will have the resources they need to design and implement sustainable projects year after year. Only spendable earnings generated</w:t>
            </w:r>
            <w:r w:rsidR="00E755B5">
              <w:rPr>
                <w:rFonts w:ascii="Aptos" w:eastAsia="Aptos" w:hAnsi="Aptos" w:cs="Aptos"/>
                <w:sz w:val="20"/>
                <w:szCs w:val="20"/>
              </w:rPr>
              <w:t xml:space="preserve"> on</w:t>
            </w: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 the principal are directed annually to Foundation grants and programs. Gifts to the Endowment support the same programs that the Annual Fund supports, but in perpetuity.  </w:t>
            </w:r>
          </w:p>
          <w:p w14:paraId="7F101DA0" w14:textId="23E86C81" w:rsidR="001836B4" w:rsidRPr="00694B63" w:rsidRDefault="00B33525" w:rsidP="006B76BF">
            <w:hyperlink r:id="rId8">
              <w:r>
                <w:rPr>
                  <w:rFonts w:ascii="Aptos" w:eastAsia="Aptos" w:hAnsi="Aptos" w:cs="Aptos"/>
                  <w:color w:val="467886"/>
                  <w:sz w:val="20"/>
                  <w:szCs w:val="20"/>
                  <w:u w:val="single" w:color="467886"/>
                </w:rPr>
                <w:t>Learn More About The Rotary Endowment</w:t>
              </w:r>
            </w:hyperlink>
            <w:hyperlink r:id="rId9">
              <w:r w:rsidR="002D47BD" w:rsidRPr="00AE3AC2">
                <w:rPr>
                  <w:rFonts w:ascii="Aptos" w:eastAsia="Aptos" w:hAnsi="Aptos" w:cs="Aptos"/>
                  <w:sz w:val="20"/>
                  <w:szCs w:val="20"/>
                </w:rPr>
                <w:t xml:space="preserve"> </w:t>
              </w:r>
            </w:hyperlink>
          </w:p>
        </w:tc>
      </w:tr>
      <w:tr w:rsidR="002D47BD" w:rsidRPr="00D77891" w14:paraId="3B1AB5B0" w14:textId="77777777" w:rsidTr="00B4231C">
        <w:trPr>
          <w:trHeight w:val="185"/>
        </w:trPr>
        <w:tc>
          <w:tcPr>
            <w:tcW w:w="2965" w:type="dxa"/>
          </w:tcPr>
          <w:p w14:paraId="3EE813F4" w14:textId="77777777" w:rsidR="002D47BD" w:rsidRPr="00D77891" w:rsidRDefault="002D47BD" w:rsidP="006B76BF">
            <w:pPr>
              <w:rPr>
                <w:rFonts w:ascii="Aptos" w:hAnsi="Aptos"/>
                <w:sz w:val="16"/>
                <w:szCs w:val="16"/>
              </w:rPr>
            </w:pPr>
            <w:r w:rsidRPr="00D77891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  <w:tc>
          <w:tcPr>
            <w:tcW w:w="8370" w:type="dxa"/>
          </w:tcPr>
          <w:p w14:paraId="68525F30" w14:textId="77777777" w:rsidR="002D47BD" w:rsidRPr="00D77891" w:rsidRDefault="002D47BD" w:rsidP="006B76BF">
            <w:pPr>
              <w:rPr>
                <w:rFonts w:ascii="Aptos" w:hAnsi="Aptos"/>
                <w:sz w:val="16"/>
                <w:szCs w:val="16"/>
              </w:rPr>
            </w:pPr>
            <w:r w:rsidRPr="00D77891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</w:tr>
      <w:tr w:rsidR="006A455D" w:rsidRPr="00AE3AC2" w14:paraId="2BB5C9C6" w14:textId="77777777" w:rsidTr="00B4231C">
        <w:trPr>
          <w:trHeight w:val="1290"/>
        </w:trPr>
        <w:tc>
          <w:tcPr>
            <w:tcW w:w="2965" w:type="dxa"/>
          </w:tcPr>
          <w:p w14:paraId="5ACB1DD2" w14:textId="617BC726" w:rsidR="006A455D" w:rsidRPr="00AE3AC2" w:rsidRDefault="005762BA">
            <w:pPr>
              <w:rPr>
                <w:rFonts w:ascii="Aptos" w:hAnsi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>PolioPlus Fund</w:t>
            </w:r>
          </w:p>
        </w:tc>
        <w:tc>
          <w:tcPr>
            <w:tcW w:w="8370" w:type="dxa"/>
          </w:tcPr>
          <w:p w14:paraId="443056CB" w14:textId="26A6988F" w:rsidR="001C279C" w:rsidRPr="00D516F4" w:rsidRDefault="00CE5CE0" w:rsidP="001C279C">
            <w:pPr>
              <w:spacing w:line="241" w:lineRule="auto"/>
              <w:rPr>
                <w:rFonts w:ascii="Aptos" w:eastAsia="Aptos" w:hAnsi="Aptos" w:cs="Aptos"/>
                <w:color w:val="auto"/>
                <w:sz w:val="20"/>
                <w:szCs w:val="20"/>
              </w:rPr>
            </w:pPr>
            <w:r w:rsidRPr="00D516F4">
              <w:rPr>
                <w:rFonts w:ascii="Aptos" w:eastAsia="Aptos" w:hAnsi="Aptos" w:cs="Aptos"/>
                <w:color w:val="auto"/>
                <w:sz w:val="20"/>
                <w:szCs w:val="20"/>
              </w:rPr>
              <w:t xml:space="preserve">Polio eradication is Rotary’s top philanthropic priority. Rotary launched the PolioPlus program in 1985. In 2007, the Bill &amp; Melinda Gates Foundation joined Rotary in its commitment to ending polio. Rotarians can contribute to the PolioPlus Fund, which </w:t>
            </w:r>
            <w:r w:rsidR="00AD7C77" w:rsidRPr="00D516F4">
              <w:rPr>
                <w:rFonts w:ascii="Aptos" w:eastAsia="Aptos" w:hAnsi="Aptos" w:cs="Aptos"/>
                <w:color w:val="auto"/>
                <w:sz w:val="20"/>
                <w:szCs w:val="20"/>
              </w:rPr>
              <w:t>are</w:t>
            </w:r>
            <w:r w:rsidRPr="00D516F4">
              <w:rPr>
                <w:rFonts w:ascii="Aptos" w:eastAsia="Aptos" w:hAnsi="Aptos" w:cs="Aptos"/>
                <w:color w:val="auto"/>
                <w:sz w:val="20"/>
                <w:szCs w:val="20"/>
              </w:rPr>
              <w:t xml:space="preserve"> matched 2-to-1 by the Gates Foundation. </w:t>
            </w:r>
            <w:r w:rsidR="00967B6A">
              <w:rPr>
                <w:rFonts w:ascii="Aptos" w:eastAsia="Aptos" w:hAnsi="Aptos" w:cs="Aptos"/>
                <w:color w:val="auto"/>
                <w:sz w:val="20"/>
                <w:szCs w:val="20"/>
              </w:rPr>
              <w:t xml:space="preserve">Funds directed to PolioPlus are not </w:t>
            </w:r>
            <w:r w:rsidR="00021B2D">
              <w:rPr>
                <w:rFonts w:ascii="Aptos" w:eastAsia="Aptos" w:hAnsi="Aptos" w:cs="Aptos"/>
                <w:color w:val="auto"/>
                <w:sz w:val="20"/>
                <w:szCs w:val="20"/>
              </w:rPr>
              <w:t>“</w:t>
            </w:r>
            <w:r w:rsidR="00967B6A">
              <w:rPr>
                <w:rFonts w:ascii="Aptos" w:eastAsia="Aptos" w:hAnsi="Aptos" w:cs="Aptos"/>
                <w:color w:val="auto"/>
                <w:sz w:val="20"/>
                <w:szCs w:val="20"/>
              </w:rPr>
              <w:t>shared</w:t>
            </w:r>
            <w:r w:rsidR="00021B2D">
              <w:rPr>
                <w:rFonts w:ascii="Aptos" w:eastAsia="Aptos" w:hAnsi="Aptos" w:cs="Aptos"/>
                <w:color w:val="auto"/>
                <w:sz w:val="20"/>
                <w:szCs w:val="20"/>
              </w:rPr>
              <w:t xml:space="preserve"> back” to Rotary Districts.</w:t>
            </w:r>
          </w:p>
          <w:p w14:paraId="7ECDDA37" w14:textId="77777777" w:rsidR="006A455D" w:rsidRDefault="00B24599" w:rsidP="001C279C">
            <w:pPr>
              <w:spacing w:line="241" w:lineRule="auto"/>
            </w:pPr>
            <w:hyperlink r:id="rId10" w:history="1">
              <w:r w:rsidRPr="00AE3AC2">
                <w:rPr>
                  <w:rStyle w:val="Hyperlink"/>
                  <w:rFonts w:ascii="Aptos" w:hAnsi="Aptos"/>
                  <w:sz w:val="20"/>
                  <w:szCs w:val="20"/>
                </w:rPr>
                <w:t>Learn More About PolioPlus</w:t>
              </w:r>
            </w:hyperlink>
          </w:p>
          <w:p w14:paraId="58395D1B" w14:textId="59C70C51" w:rsidR="001836B4" w:rsidRPr="00AE3AC2" w:rsidRDefault="001836B4" w:rsidP="001C279C">
            <w:pPr>
              <w:spacing w:line="241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6A455D" w:rsidRPr="00D77891" w14:paraId="05E6BE53" w14:textId="77777777" w:rsidTr="00B4231C">
        <w:trPr>
          <w:trHeight w:val="176"/>
        </w:trPr>
        <w:tc>
          <w:tcPr>
            <w:tcW w:w="2965" w:type="dxa"/>
          </w:tcPr>
          <w:p w14:paraId="780A7928" w14:textId="5966CA38" w:rsidR="003719C4" w:rsidRPr="00D77891" w:rsidRDefault="003719C4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370" w:type="dxa"/>
          </w:tcPr>
          <w:p w14:paraId="44D6F7A1" w14:textId="77777777" w:rsidR="006A455D" w:rsidRPr="00D77891" w:rsidRDefault="005762BA">
            <w:pPr>
              <w:rPr>
                <w:rFonts w:ascii="Aptos" w:hAnsi="Aptos"/>
                <w:sz w:val="16"/>
                <w:szCs w:val="16"/>
              </w:rPr>
            </w:pPr>
            <w:r w:rsidRPr="00D77891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</w:tc>
      </w:tr>
      <w:tr w:rsidR="006A455D" w:rsidRPr="00AE3AC2" w14:paraId="6DF8D3CC" w14:textId="77777777" w:rsidTr="00B4231C">
        <w:trPr>
          <w:trHeight w:val="1023"/>
        </w:trPr>
        <w:tc>
          <w:tcPr>
            <w:tcW w:w="2965" w:type="dxa"/>
          </w:tcPr>
          <w:p w14:paraId="6782ECD6" w14:textId="531075EE" w:rsidR="006A455D" w:rsidRPr="00AE3AC2" w:rsidRDefault="005762BA">
            <w:pPr>
              <w:rPr>
                <w:rFonts w:ascii="Aptos" w:hAnsi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>Disaster Response Fund</w:t>
            </w:r>
          </w:p>
        </w:tc>
        <w:tc>
          <w:tcPr>
            <w:tcW w:w="8370" w:type="dxa"/>
          </w:tcPr>
          <w:p w14:paraId="7F1D13F2" w14:textId="77777777" w:rsidR="002D6274" w:rsidRDefault="005762BA" w:rsidP="00CC5ACB">
            <w:pPr>
              <w:spacing w:line="24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>The Rotary Disaster Response Fund can accept cash donations from individuals and clubs, as well as District contributions. It is a general disaster-related reserve, and contributions cannot be designated for specific events.</w:t>
            </w:r>
            <w:r w:rsidR="008D1FC2">
              <w:rPr>
                <w:rFonts w:ascii="Aptos" w:eastAsia="Aptos" w:hAnsi="Aptos" w:cs="Aptos"/>
                <w:sz w:val="20"/>
                <w:szCs w:val="20"/>
              </w:rPr>
              <w:t xml:space="preserve"> Funds directed</w:t>
            </w:r>
            <w:r w:rsidR="008733E6">
              <w:rPr>
                <w:rFonts w:ascii="Aptos" w:eastAsia="Aptos" w:hAnsi="Aptos" w:cs="Aptos"/>
                <w:sz w:val="20"/>
                <w:szCs w:val="20"/>
              </w:rPr>
              <w:t xml:space="preserve"> to tis fund are not “shar</w:t>
            </w:r>
            <w:r w:rsidR="001836B4">
              <w:rPr>
                <w:rFonts w:ascii="Aptos" w:eastAsia="Aptos" w:hAnsi="Aptos" w:cs="Aptos"/>
                <w:sz w:val="20"/>
                <w:szCs w:val="20"/>
              </w:rPr>
              <w:t>e</w:t>
            </w:r>
            <w:r w:rsidR="008733E6">
              <w:rPr>
                <w:rFonts w:ascii="Aptos" w:eastAsia="Aptos" w:hAnsi="Aptos" w:cs="Aptos"/>
                <w:sz w:val="20"/>
                <w:szCs w:val="20"/>
              </w:rPr>
              <w:t>d back” to Rotary Districts.</w:t>
            </w: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663E5E9" w14:textId="639FA8D6" w:rsidR="006A455D" w:rsidRDefault="00CC5ACB" w:rsidP="00CC5ACB">
            <w:pPr>
              <w:spacing w:line="240" w:lineRule="auto"/>
            </w:pPr>
            <w:hyperlink r:id="rId11">
              <w:r w:rsidRPr="00AE3AC2">
                <w:rPr>
                  <w:rFonts w:ascii="Aptos" w:eastAsia="Aptos" w:hAnsi="Aptos" w:cs="Aptos"/>
                  <w:color w:val="467886"/>
                  <w:sz w:val="20"/>
                  <w:szCs w:val="20"/>
                  <w:u w:val="single" w:color="467886"/>
                </w:rPr>
                <w:t>Learn More About Rotary's Disaster Response Fund</w:t>
              </w:r>
            </w:hyperlink>
            <w:hyperlink r:id="rId12">
              <w:r w:rsidR="006A455D" w:rsidRPr="00AE3AC2">
                <w:rPr>
                  <w:rFonts w:ascii="Aptos" w:eastAsia="Aptos" w:hAnsi="Aptos" w:cs="Aptos"/>
                  <w:sz w:val="20"/>
                  <w:szCs w:val="20"/>
                </w:rPr>
                <w:t xml:space="preserve"> </w:t>
              </w:r>
            </w:hyperlink>
          </w:p>
          <w:p w14:paraId="2BE43CAF" w14:textId="61733A87" w:rsidR="001836B4" w:rsidRPr="00AE3AC2" w:rsidRDefault="001836B4" w:rsidP="00CC5ACB">
            <w:pPr>
              <w:spacing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CC5ACB" w:rsidRPr="00D77891" w14:paraId="1E30834B" w14:textId="77777777" w:rsidTr="00B4231C">
        <w:trPr>
          <w:trHeight w:val="185"/>
        </w:trPr>
        <w:tc>
          <w:tcPr>
            <w:tcW w:w="2965" w:type="dxa"/>
          </w:tcPr>
          <w:p w14:paraId="4AF2A656" w14:textId="77777777" w:rsidR="00CC5ACB" w:rsidRPr="00D77891" w:rsidRDefault="00CC5ACB">
            <w:pPr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370" w:type="dxa"/>
          </w:tcPr>
          <w:p w14:paraId="59E41618" w14:textId="77777777" w:rsidR="00CC5ACB" w:rsidRPr="00D77891" w:rsidRDefault="00CC5ACB">
            <w:pPr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CC5ACB" w:rsidRPr="00AE3AC2" w14:paraId="77727915" w14:textId="77777777" w:rsidTr="00B4231C">
        <w:trPr>
          <w:trHeight w:val="185"/>
        </w:trPr>
        <w:tc>
          <w:tcPr>
            <w:tcW w:w="2965" w:type="dxa"/>
          </w:tcPr>
          <w:p w14:paraId="46298F4A" w14:textId="76B85E23" w:rsidR="00CC5ACB" w:rsidRPr="00AE3AC2" w:rsidRDefault="00CC5AC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>World Fund</w:t>
            </w:r>
          </w:p>
        </w:tc>
        <w:tc>
          <w:tcPr>
            <w:tcW w:w="8370" w:type="dxa"/>
          </w:tcPr>
          <w:p w14:paraId="721FC712" w14:textId="77777777" w:rsidR="001836B4" w:rsidRDefault="00CC5ACB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World Fund gifts are unrestricted providing flexibility to be used where it is needed most. </w:t>
            </w:r>
          </w:p>
          <w:p w14:paraId="6C14A151" w14:textId="77777777" w:rsidR="00CC5ACB" w:rsidRDefault="00936FE7">
            <w:hyperlink r:id="rId13" w:history="1">
              <w:r w:rsidRPr="00AE3AC2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Learn More About The World Fund</w:t>
              </w:r>
            </w:hyperlink>
          </w:p>
          <w:p w14:paraId="436AE8D1" w14:textId="4824E8B0" w:rsidR="004934B4" w:rsidRPr="00AE3AC2" w:rsidRDefault="004934B4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6A455D" w:rsidRPr="003F30E8" w14:paraId="07C0B931" w14:textId="77777777" w:rsidTr="00B4231C">
        <w:trPr>
          <w:trHeight w:val="185"/>
        </w:trPr>
        <w:tc>
          <w:tcPr>
            <w:tcW w:w="2965" w:type="dxa"/>
          </w:tcPr>
          <w:p w14:paraId="7DE22B39" w14:textId="0C074A27" w:rsidR="006A455D" w:rsidRPr="003F30E8" w:rsidRDefault="006A455D">
            <w:pPr>
              <w:rPr>
                <w:rFonts w:ascii="Aptos" w:hAnsi="Aptos"/>
                <w:i/>
                <w:iCs/>
                <w:sz w:val="16"/>
                <w:szCs w:val="16"/>
              </w:rPr>
            </w:pPr>
          </w:p>
        </w:tc>
        <w:tc>
          <w:tcPr>
            <w:tcW w:w="8370" w:type="dxa"/>
          </w:tcPr>
          <w:p w14:paraId="68A11C1F" w14:textId="77777777" w:rsidR="006A455D" w:rsidRPr="003F30E8" w:rsidRDefault="005762BA">
            <w:pPr>
              <w:rPr>
                <w:rFonts w:ascii="Aptos" w:hAnsi="Aptos"/>
                <w:i/>
                <w:iCs/>
                <w:sz w:val="16"/>
                <w:szCs w:val="16"/>
              </w:rPr>
            </w:pPr>
            <w:r w:rsidRPr="003F30E8">
              <w:rPr>
                <w:rFonts w:ascii="Aptos" w:eastAsia="Aptos" w:hAnsi="Aptos" w:cs="Aptos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722088" w:rsidRPr="00AE3AC2" w14:paraId="3B51F3C4" w14:textId="77777777" w:rsidTr="00B4231C">
        <w:trPr>
          <w:trHeight w:val="1035"/>
        </w:trPr>
        <w:tc>
          <w:tcPr>
            <w:tcW w:w="2965" w:type="dxa"/>
          </w:tcPr>
          <w:p w14:paraId="561C92D4" w14:textId="56DD6865" w:rsidR="0049334E" w:rsidRPr="003A205B" w:rsidRDefault="00B03827" w:rsidP="00FB060E">
            <w:pPr>
              <w:spacing w:line="240" w:lineRule="auto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3A205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ROTARY</w:t>
            </w:r>
            <w:r w:rsidR="003A205B" w:rsidRPr="003A205B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’S AREAS OF FOCUS</w:t>
            </w:r>
          </w:p>
        </w:tc>
        <w:tc>
          <w:tcPr>
            <w:tcW w:w="8370" w:type="dxa"/>
          </w:tcPr>
          <w:p w14:paraId="6644C762" w14:textId="25418C4F" w:rsidR="00FB060E" w:rsidRDefault="002B5928">
            <w:pPr>
              <w:spacing w:line="241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2B5928">
              <w:rPr>
                <w:rFonts w:ascii="Aptos" w:eastAsia="Aptos" w:hAnsi="Aptos" w:cs="Aptos"/>
                <w:sz w:val="20"/>
                <w:szCs w:val="20"/>
              </w:rPr>
              <w:t xml:space="preserve">You can direct your gift to an </w:t>
            </w:r>
            <w:r w:rsidR="00EC0519">
              <w:rPr>
                <w:rFonts w:ascii="Aptos" w:eastAsia="Aptos" w:hAnsi="Aptos" w:cs="Aptos"/>
                <w:sz w:val="20"/>
                <w:szCs w:val="20"/>
              </w:rPr>
              <w:t>A</w:t>
            </w:r>
            <w:r w:rsidRPr="002B5928">
              <w:rPr>
                <w:rFonts w:ascii="Aptos" w:eastAsia="Aptos" w:hAnsi="Aptos" w:cs="Aptos"/>
                <w:sz w:val="20"/>
                <w:szCs w:val="20"/>
              </w:rPr>
              <w:t xml:space="preserve">rea of </w:t>
            </w:r>
            <w:r w:rsidR="00EC0519">
              <w:rPr>
                <w:rFonts w:ascii="Aptos" w:eastAsia="Aptos" w:hAnsi="Aptos" w:cs="Aptos"/>
                <w:sz w:val="20"/>
                <w:szCs w:val="20"/>
              </w:rPr>
              <w:t>F</w:t>
            </w:r>
            <w:r w:rsidRPr="002B5928">
              <w:rPr>
                <w:rFonts w:ascii="Aptos" w:eastAsia="Aptos" w:hAnsi="Aptos" w:cs="Aptos"/>
                <w:sz w:val="20"/>
                <w:szCs w:val="20"/>
              </w:rPr>
              <w:t xml:space="preserve">ocus within the Annual Fund. However, Annual Fund gifts that are designated to an </w:t>
            </w:r>
            <w:r w:rsidR="00EC0519">
              <w:rPr>
                <w:rFonts w:ascii="Aptos" w:eastAsia="Aptos" w:hAnsi="Aptos" w:cs="Aptos"/>
                <w:sz w:val="20"/>
                <w:szCs w:val="20"/>
              </w:rPr>
              <w:t>A</w:t>
            </w:r>
            <w:r w:rsidR="00EC0519" w:rsidRPr="002B5928">
              <w:rPr>
                <w:rFonts w:ascii="Aptos" w:eastAsia="Aptos" w:hAnsi="Aptos" w:cs="Aptos"/>
                <w:sz w:val="20"/>
                <w:szCs w:val="20"/>
              </w:rPr>
              <w:t xml:space="preserve">rea of </w:t>
            </w:r>
            <w:r w:rsidR="00EC0519">
              <w:rPr>
                <w:rFonts w:ascii="Aptos" w:eastAsia="Aptos" w:hAnsi="Aptos" w:cs="Aptos"/>
                <w:sz w:val="20"/>
                <w:szCs w:val="20"/>
              </w:rPr>
              <w:t>F</w:t>
            </w:r>
            <w:r w:rsidR="00EC0519" w:rsidRPr="002B5928">
              <w:rPr>
                <w:rFonts w:ascii="Aptos" w:eastAsia="Aptos" w:hAnsi="Aptos" w:cs="Aptos"/>
                <w:sz w:val="20"/>
                <w:szCs w:val="20"/>
              </w:rPr>
              <w:t xml:space="preserve">ocus </w:t>
            </w:r>
            <w:r w:rsidR="00E255E0">
              <w:rPr>
                <w:rFonts w:ascii="Aptos" w:eastAsia="Aptos" w:hAnsi="Aptos" w:cs="Aptos"/>
                <w:sz w:val="20"/>
                <w:szCs w:val="20"/>
              </w:rPr>
              <w:t>are not “shared back” to</w:t>
            </w:r>
            <w:r w:rsidR="001B476C">
              <w:rPr>
                <w:rFonts w:ascii="Aptos" w:eastAsia="Aptos" w:hAnsi="Aptos" w:cs="Aptos"/>
                <w:sz w:val="20"/>
                <w:szCs w:val="20"/>
              </w:rPr>
              <w:t xml:space="preserve"> Rotary Districts.</w:t>
            </w:r>
            <w:r w:rsidR="00FB060E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158FEF50" w14:textId="6413CA4D" w:rsidR="00A72A0E" w:rsidRDefault="00FB060E">
            <w:pPr>
              <w:spacing w:line="241" w:lineRule="auto"/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 xml:space="preserve">Rotary’s Areas of Focus are: </w:t>
            </w:r>
            <w:r w:rsidRPr="00A72A0E">
              <w:rPr>
                <w:rFonts w:ascii="Aptos" w:eastAsia="Aptos" w:hAnsi="Aptos" w:cs="Aptos"/>
                <w:sz w:val="20"/>
                <w:szCs w:val="20"/>
              </w:rPr>
              <w:t>The Environment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00A72A0E">
              <w:rPr>
                <w:rFonts w:ascii="Aptos" w:eastAsia="Aptos" w:hAnsi="Aptos" w:cs="Aptos"/>
                <w:sz w:val="20"/>
                <w:szCs w:val="20"/>
              </w:rPr>
              <w:t>Peacebuilding and Conflict Prevention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00A72A0E">
              <w:rPr>
                <w:rFonts w:ascii="Aptos" w:eastAsia="Aptos" w:hAnsi="Aptos" w:cs="Aptos"/>
                <w:sz w:val="20"/>
                <w:szCs w:val="20"/>
              </w:rPr>
              <w:t>Disease Prevention and Treatment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00A72A0E">
              <w:rPr>
                <w:rFonts w:ascii="Aptos" w:eastAsia="Aptos" w:hAnsi="Aptos" w:cs="Aptos"/>
                <w:sz w:val="20"/>
                <w:szCs w:val="20"/>
              </w:rPr>
              <w:t>Water, Sanitation, and Hygiene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00A72A0E">
              <w:rPr>
                <w:rFonts w:ascii="Aptos" w:eastAsia="Aptos" w:hAnsi="Aptos" w:cs="Aptos"/>
                <w:sz w:val="20"/>
                <w:szCs w:val="20"/>
              </w:rPr>
              <w:t>Maternal and Child Health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00A72A0E">
              <w:rPr>
                <w:rFonts w:ascii="Aptos" w:eastAsia="Aptos" w:hAnsi="Aptos" w:cs="Aptos"/>
                <w:sz w:val="20"/>
                <w:szCs w:val="20"/>
              </w:rPr>
              <w:t>Basic Education and Literacy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00A72A0E">
              <w:rPr>
                <w:rFonts w:ascii="Aptos" w:eastAsia="Aptos" w:hAnsi="Aptos" w:cs="Aptos"/>
                <w:sz w:val="20"/>
                <w:szCs w:val="20"/>
              </w:rPr>
              <w:t>Community Economic Development</w:t>
            </w:r>
          </w:p>
          <w:p w14:paraId="2139A3E9" w14:textId="77A1EB84" w:rsidR="00722088" w:rsidRPr="00AE3AC2" w:rsidRDefault="009B29D0">
            <w:pPr>
              <w:spacing w:line="241" w:lineRule="auto"/>
              <w:rPr>
                <w:rFonts w:ascii="Aptos" w:eastAsia="Aptos" w:hAnsi="Aptos" w:cs="Aptos"/>
                <w:sz w:val="20"/>
                <w:szCs w:val="20"/>
              </w:rPr>
            </w:pPr>
            <w:hyperlink r:id="rId14" w:history="1">
              <w:r w:rsidRPr="009B29D0">
                <w:rPr>
                  <w:rStyle w:val="Hyperlink"/>
                  <w:rFonts w:ascii="Aptos" w:eastAsia="Aptos" w:hAnsi="Aptos" w:cs="Aptos"/>
                  <w:sz w:val="20"/>
                  <w:szCs w:val="20"/>
                </w:rPr>
                <w:t>Learn More About Rotary's Seven Causes</w:t>
              </w:r>
            </w:hyperlink>
          </w:p>
        </w:tc>
      </w:tr>
      <w:tr w:rsidR="003F30E8" w:rsidRPr="003F30E8" w14:paraId="59BD9583" w14:textId="77777777" w:rsidTr="00B4231C">
        <w:trPr>
          <w:trHeight w:val="132"/>
        </w:trPr>
        <w:tc>
          <w:tcPr>
            <w:tcW w:w="2965" w:type="dxa"/>
          </w:tcPr>
          <w:p w14:paraId="69FDA5C4" w14:textId="77777777" w:rsidR="003F30E8" w:rsidRPr="003F30E8" w:rsidRDefault="003F30E8">
            <w:pPr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8370" w:type="dxa"/>
          </w:tcPr>
          <w:p w14:paraId="42CD5188" w14:textId="77777777" w:rsidR="003F30E8" w:rsidRPr="003F30E8" w:rsidRDefault="003F30E8" w:rsidP="00210718">
            <w:pPr>
              <w:spacing w:line="239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6A455D" w:rsidRPr="00AE3AC2" w14:paraId="00AB06F8" w14:textId="77777777" w:rsidTr="00B4231C">
        <w:trPr>
          <w:trHeight w:val="775"/>
        </w:trPr>
        <w:tc>
          <w:tcPr>
            <w:tcW w:w="2965" w:type="dxa"/>
          </w:tcPr>
          <w:p w14:paraId="62B03D95" w14:textId="77777777" w:rsidR="006A455D" w:rsidRPr="00AE3AC2" w:rsidRDefault="005762BA">
            <w:pPr>
              <w:rPr>
                <w:rFonts w:ascii="Aptos" w:hAnsi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Qualified Charitable Distributions </w:t>
            </w:r>
          </w:p>
          <w:p w14:paraId="1E3757F2" w14:textId="77777777" w:rsidR="006A455D" w:rsidRPr="00AE3AC2" w:rsidRDefault="005762BA">
            <w:pPr>
              <w:rPr>
                <w:rFonts w:ascii="Aptos" w:hAnsi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(QCD) and Required Minimum </w:t>
            </w:r>
          </w:p>
          <w:p w14:paraId="4C359815" w14:textId="77777777" w:rsidR="006A455D" w:rsidRPr="00AE3AC2" w:rsidRDefault="005762BA">
            <w:pPr>
              <w:rPr>
                <w:rFonts w:ascii="Aptos" w:hAnsi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Distributions (RMD) </w:t>
            </w:r>
          </w:p>
        </w:tc>
        <w:tc>
          <w:tcPr>
            <w:tcW w:w="8370" w:type="dxa"/>
          </w:tcPr>
          <w:p w14:paraId="2FA91AB2" w14:textId="77777777" w:rsidR="00F53697" w:rsidRDefault="005762BA" w:rsidP="00210718">
            <w:pPr>
              <w:spacing w:line="239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>For members who are approaching their 70</w:t>
            </w:r>
            <w:r w:rsidR="007F1AAD" w:rsidRPr="00AE3AC2">
              <w:rPr>
                <w:rFonts w:ascii="Aptos" w:eastAsia="Aptos" w:hAnsi="Aptos" w:cs="Aptos"/>
                <w:sz w:val="20"/>
                <w:szCs w:val="20"/>
              </w:rPr>
              <w:t>-</w:t>
            </w: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½ </w:t>
            </w:r>
            <w:r w:rsidR="007F1AAD" w:rsidRPr="00AE3AC2">
              <w:rPr>
                <w:rFonts w:ascii="Aptos" w:eastAsia="Aptos" w:hAnsi="Aptos" w:cs="Aptos"/>
                <w:sz w:val="20"/>
                <w:szCs w:val="20"/>
              </w:rPr>
              <w:t>and 73</w:t>
            </w:r>
            <w:r w:rsidR="007F1AAD" w:rsidRPr="00AE3AC2">
              <w:rPr>
                <w:rFonts w:ascii="Aptos" w:eastAsia="Aptos" w:hAnsi="Aptos" w:cs="Aptos"/>
                <w:sz w:val="20"/>
                <w:szCs w:val="20"/>
                <w:vertAlign w:val="superscript"/>
              </w:rPr>
              <w:t>rd</w:t>
            </w:r>
            <w:r w:rsidR="007F1AAD" w:rsidRPr="00AE3AC2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AE3AC2">
              <w:rPr>
                <w:rFonts w:ascii="Aptos" w:eastAsia="Aptos" w:hAnsi="Aptos" w:cs="Aptos"/>
                <w:sz w:val="20"/>
                <w:szCs w:val="20"/>
              </w:rPr>
              <w:t>birthday</w:t>
            </w:r>
            <w:r w:rsidR="007F1AAD" w:rsidRPr="00AE3AC2">
              <w:rPr>
                <w:rFonts w:ascii="Aptos" w:eastAsia="Aptos" w:hAnsi="Aptos" w:cs="Aptos"/>
                <w:sz w:val="20"/>
                <w:szCs w:val="20"/>
              </w:rPr>
              <w:t>s</w:t>
            </w: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, learn how to make </w:t>
            </w:r>
            <w:r w:rsidR="007F1AAD" w:rsidRPr="00AE3AC2">
              <w:rPr>
                <w:rFonts w:ascii="Aptos" w:eastAsia="Aptos" w:hAnsi="Aptos" w:cs="Aptos"/>
                <w:sz w:val="20"/>
                <w:szCs w:val="20"/>
              </w:rPr>
              <w:t>tax-free</w:t>
            </w: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0553A32">
              <w:rPr>
                <w:rFonts w:ascii="Aptos" w:eastAsia="Aptos" w:hAnsi="Aptos" w:cs="Aptos"/>
                <w:sz w:val="20"/>
                <w:szCs w:val="20"/>
              </w:rPr>
              <w:t xml:space="preserve">IRA withdrawal </w:t>
            </w: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gifts </w:t>
            </w:r>
            <w:r w:rsidR="00553A32">
              <w:rPr>
                <w:rFonts w:ascii="Aptos" w:eastAsia="Aptos" w:hAnsi="Aptos" w:cs="Aptos"/>
                <w:sz w:val="20"/>
                <w:szCs w:val="20"/>
              </w:rPr>
              <w:t>to Rotary.</w:t>
            </w:r>
          </w:p>
          <w:p w14:paraId="227BC115" w14:textId="6B36C825" w:rsidR="006A455D" w:rsidRPr="00AE3AC2" w:rsidRDefault="005762BA" w:rsidP="00210718">
            <w:pPr>
              <w:spacing w:line="239" w:lineRule="auto"/>
              <w:rPr>
                <w:rFonts w:ascii="Aptos" w:hAnsi="Aptos"/>
                <w:sz w:val="20"/>
                <w:szCs w:val="20"/>
              </w:rPr>
            </w:pPr>
            <w:r w:rsidRPr="00AE3AC2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hyperlink r:id="rId15">
              <w:r w:rsidR="006A455D" w:rsidRPr="00AE3AC2">
                <w:rPr>
                  <w:rFonts w:ascii="Aptos" w:eastAsia="Aptos" w:hAnsi="Aptos" w:cs="Aptos"/>
                  <w:color w:val="467886"/>
                  <w:sz w:val="20"/>
                  <w:szCs w:val="20"/>
                  <w:u w:val="single" w:color="467886"/>
                </w:rPr>
                <w:t>QCD and RMD Information</w:t>
              </w:r>
            </w:hyperlink>
            <w:hyperlink r:id="rId16">
              <w:r w:rsidR="006A455D" w:rsidRPr="00AE3AC2">
                <w:rPr>
                  <w:rFonts w:ascii="Aptos" w:eastAsia="Aptos" w:hAnsi="Aptos" w:cs="Aptos"/>
                  <w:sz w:val="20"/>
                  <w:szCs w:val="20"/>
                </w:rPr>
                <w:t xml:space="preserve"> </w:t>
              </w:r>
            </w:hyperlink>
          </w:p>
        </w:tc>
      </w:tr>
    </w:tbl>
    <w:p w14:paraId="2E678CBE" w14:textId="77777777" w:rsidR="007F1AAD" w:rsidRDefault="007F1AAD" w:rsidP="007F1AAD">
      <w:pPr>
        <w:spacing w:after="0"/>
        <w:rPr>
          <w:rFonts w:ascii="Aptos" w:eastAsia="Aptos" w:hAnsi="Aptos" w:cs="Aptos"/>
          <w:sz w:val="16"/>
        </w:rPr>
      </w:pPr>
    </w:p>
    <w:p w14:paraId="7B94091A" w14:textId="78C03E69" w:rsidR="006C5A1C" w:rsidRPr="006C5A1C" w:rsidRDefault="005762BA" w:rsidP="00DC755C">
      <w:pPr>
        <w:spacing w:after="168"/>
        <w:rPr>
          <w:rFonts w:ascii="Aptos" w:eastAsia="Aptos" w:hAnsi="Aptos" w:cs="Aptos"/>
          <w:sz w:val="16"/>
        </w:rPr>
      </w:pPr>
      <w:r>
        <w:rPr>
          <w:rFonts w:ascii="Aptos" w:eastAsia="Aptos" w:hAnsi="Aptos" w:cs="Aptos"/>
          <w:sz w:val="16"/>
        </w:rPr>
        <w:t>JAM/</w:t>
      </w:r>
      <w:proofErr w:type="spellStart"/>
      <w:r>
        <w:rPr>
          <w:rFonts w:ascii="Aptos" w:eastAsia="Aptos" w:hAnsi="Aptos" w:cs="Aptos"/>
          <w:sz w:val="16"/>
        </w:rPr>
        <w:t>mtf</w:t>
      </w:r>
      <w:proofErr w:type="spellEnd"/>
      <w:r>
        <w:rPr>
          <w:rFonts w:ascii="Aptos" w:eastAsia="Aptos" w:hAnsi="Aptos" w:cs="Aptos"/>
          <w:sz w:val="16"/>
        </w:rPr>
        <w:t xml:space="preserve"> 9/</w:t>
      </w:r>
      <w:r w:rsidR="00553A32">
        <w:rPr>
          <w:rFonts w:ascii="Aptos" w:eastAsia="Aptos" w:hAnsi="Aptos" w:cs="Aptos"/>
          <w:sz w:val="16"/>
        </w:rPr>
        <w:t>9</w:t>
      </w:r>
      <w:r>
        <w:rPr>
          <w:rFonts w:ascii="Aptos" w:eastAsia="Aptos" w:hAnsi="Aptos" w:cs="Aptos"/>
          <w:sz w:val="16"/>
        </w:rPr>
        <w:t xml:space="preserve">/2025 </w:t>
      </w:r>
    </w:p>
    <w:sectPr w:rsidR="006C5A1C" w:rsidRPr="006C5A1C" w:rsidSect="00A72A0E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D4B"/>
    <w:multiLevelType w:val="multilevel"/>
    <w:tmpl w:val="B5062EE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F592A"/>
    <w:multiLevelType w:val="hybridMultilevel"/>
    <w:tmpl w:val="B5062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860E5F"/>
    <w:multiLevelType w:val="hybridMultilevel"/>
    <w:tmpl w:val="11761768"/>
    <w:lvl w:ilvl="0" w:tplc="3F4831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F6971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C60EC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805F0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C8322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4E3D1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24C21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FEDEE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B035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821338"/>
    <w:multiLevelType w:val="hybridMultilevel"/>
    <w:tmpl w:val="69FECBFE"/>
    <w:lvl w:ilvl="0" w:tplc="45A43A48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0208C"/>
    <w:multiLevelType w:val="hybridMultilevel"/>
    <w:tmpl w:val="61D0BCA0"/>
    <w:lvl w:ilvl="0" w:tplc="7F3807A0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5E0C8F"/>
    <w:multiLevelType w:val="hybridMultilevel"/>
    <w:tmpl w:val="D5AA6C8A"/>
    <w:lvl w:ilvl="0" w:tplc="7F2ADBE8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17AA4"/>
    <w:multiLevelType w:val="multilevel"/>
    <w:tmpl w:val="61D0BCA0"/>
    <w:styleLink w:val="CurrentList2"/>
    <w:lvl w:ilvl="0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853F33"/>
    <w:multiLevelType w:val="hybridMultilevel"/>
    <w:tmpl w:val="B39AA9F2"/>
    <w:lvl w:ilvl="0" w:tplc="52340248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7775313">
    <w:abstractNumId w:val="2"/>
  </w:num>
  <w:num w:numId="2" w16cid:durableId="1133862304">
    <w:abstractNumId w:val="1"/>
  </w:num>
  <w:num w:numId="3" w16cid:durableId="429813818">
    <w:abstractNumId w:val="0"/>
  </w:num>
  <w:num w:numId="4" w16cid:durableId="1191918576">
    <w:abstractNumId w:val="4"/>
  </w:num>
  <w:num w:numId="5" w16cid:durableId="1016423001">
    <w:abstractNumId w:val="6"/>
  </w:num>
  <w:num w:numId="6" w16cid:durableId="1283151509">
    <w:abstractNumId w:val="7"/>
  </w:num>
  <w:num w:numId="7" w16cid:durableId="259876691">
    <w:abstractNumId w:val="3"/>
  </w:num>
  <w:num w:numId="8" w16cid:durableId="1826970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5D"/>
    <w:rsid w:val="00012BF7"/>
    <w:rsid w:val="00021B2D"/>
    <w:rsid w:val="000275AE"/>
    <w:rsid w:val="0005335B"/>
    <w:rsid w:val="000609E4"/>
    <w:rsid w:val="000D3048"/>
    <w:rsid w:val="00134981"/>
    <w:rsid w:val="00140B73"/>
    <w:rsid w:val="00147751"/>
    <w:rsid w:val="001836B4"/>
    <w:rsid w:val="00187721"/>
    <w:rsid w:val="00193E3B"/>
    <w:rsid w:val="001B3235"/>
    <w:rsid w:val="001B3868"/>
    <w:rsid w:val="001B476C"/>
    <w:rsid w:val="001B6857"/>
    <w:rsid w:val="001C279C"/>
    <w:rsid w:val="001E0D70"/>
    <w:rsid w:val="001E5D37"/>
    <w:rsid w:val="00210718"/>
    <w:rsid w:val="00226FB5"/>
    <w:rsid w:val="002B5928"/>
    <w:rsid w:val="002C67AE"/>
    <w:rsid w:val="002D47BD"/>
    <w:rsid w:val="002D6274"/>
    <w:rsid w:val="002E1643"/>
    <w:rsid w:val="0033230B"/>
    <w:rsid w:val="0034407A"/>
    <w:rsid w:val="003719C4"/>
    <w:rsid w:val="00380B5A"/>
    <w:rsid w:val="003905FC"/>
    <w:rsid w:val="00395182"/>
    <w:rsid w:val="003A205B"/>
    <w:rsid w:val="003B7E1D"/>
    <w:rsid w:val="003C027D"/>
    <w:rsid w:val="003C60A5"/>
    <w:rsid w:val="003F30E8"/>
    <w:rsid w:val="00417507"/>
    <w:rsid w:val="00426149"/>
    <w:rsid w:val="00465BAD"/>
    <w:rsid w:val="0047117D"/>
    <w:rsid w:val="0049334E"/>
    <w:rsid w:val="004934B4"/>
    <w:rsid w:val="004B7F46"/>
    <w:rsid w:val="004F0F59"/>
    <w:rsid w:val="005107AA"/>
    <w:rsid w:val="00553A32"/>
    <w:rsid w:val="005657F9"/>
    <w:rsid w:val="005762BA"/>
    <w:rsid w:val="00594E18"/>
    <w:rsid w:val="005B56C7"/>
    <w:rsid w:val="0062057A"/>
    <w:rsid w:val="006442DE"/>
    <w:rsid w:val="00694B63"/>
    <w:rsid w:val="006A455D"/>
    <w:rsid w:val="006C5778"/>
    <w:rsid w:val="006C5A1C"/>
    <w:rsid w:val="006F46BE"/>
    <w:rsid w:val="00722088"/>
    <w:rsid w:val="007B1482"/>
    <w:rsid w:val="007B67AC"/>
    <w:rsid w:val="007F1AAD"/>
    <w:rsid w:val="008144C8"/>
    <w:rsid w:val="008278A4"/>
    <w:rsid w:val="00852034"/>
    <w:rsid w:val="008733E6"/>
    <w:rsid w:val="0088550A"/>
    <w:rsid w:val="008945A2"/>
    <w:rsid w:val="008A237E"/>
    <w:rsid w:val="008B5C0D"/>
    <w:rsid w:val="008D1FC2"/>
    <w:rsid w:val="009317B7"/>
    <w:rsid w:val="00936FE7"/>
    <w:rsid w:val="00946E22"/>
    <w:rsid w:val="00955EE4"/>
    <w:rsid w:val="00967B6A"/>
    <w:rsid w:val="009776A1"/>
    <w:rsid w:val="009A16B4"/>
    <w:rsid w:val="009A5738"/>
    <w:rsid w:val="009B29D0"/>
    <w:rsid w:val="009B7B7C"/>
    <w:rsid w:val="009E0068"/>
    <w:rsid w:val="00A332D4"/>
    <w:rsid w:val="00A42379"/>
    <w:rsid w:val="00A72A0E"/>
    <w:rsid w:val="00A81FA4"/>
    <w:rsid w:val="00AA4FFE"/>
    <w:rsid w:val="00AD7C77"/>
    <w:rsid w:val="00AE3AC2"/>
    <w:rsid w:val="00AF2E8D"/>
    <w:rsid w:val="00B03827"/>
    <w:rsid w:val="00B24599"/>
    <w:rsid w:val="00B33525"/>
    <w:rsid w:val="00B4231C"/>
    <w:rsid w:val="00B750A3"/>
    <w:rsid w:val="00B9784B"/>
    <w:rsid w:val="00BA431F"/>
    <w:rsid w:val="00BF6174"/>
    <w:rsid w:val="00C31A2E"/>
    <w:rsid w:val="00CB25D8"/>
    <w:rsid w:val="00CB5F3E"/>
    <w:rsid w:val="00CC5ACB"/>
    <w:rsid w:val="00CE5CE0"/>
    <w:rsid w:val="00D516F4"/>
    <w:rsid w:val="00D77891"/>
    <w:rsid w:val="00D84AD4"/>
    <w:rsid w:val="00D85FA1"/>
    <w:rsid w:val="00D93A77"/>
    <w:rsid w:val="00DC755C"/>
    <w:rsid w:val="00E163A5"/>
    <w:rsid w:val="00E17185"/>
    <w:rsid w:val="00E255E0"/>
    <w:rsid w:val="00E56BC0"/>
    <w:rsid w:val="00E755B5"/>
    <w:rsid w:val="00EC0519"/>
    <w:rsid w:val="00F12D64"/>
    <w:rsid w:val="00F15CD2"/>
    <w:rsid w:val="00F50BC2"/>
    <w:rsid w:val="00F53697"/>
    <w:rsid w:val="00F67B79"/>
    <w:rsid w:val="00FB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EDD4"/>
  <w15:docId w15:val="{4FFB7579-15B9-B24F-95F2-00502F61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2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26F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40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0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334E"/>
    <w:pPr>
      <w:ind w:left="720"/>
      <w:contextualSpacing/>
    </w:pPr>
  </w:style>
  <w:style w:type="numbering" w:customStyle="1" w:styleId="CurrentList1">
    <w:name w:val="Current List1"/>
    <w:uiPriority w:val="99"/>
    <w:rsid w:val="00D84AD4"/>
    <w:pPr>
      <w:numPr>
        <w:numId w:val="3"/>
      </w:numPr>
    </w:pPr>
  </w:style>
  <w:style w:type="numbering" w:customStyle="1" w:styleId="CurrentList2">
    <w:name w:val="Current List2"/>
    <w:uiPriority w:val="99"/>
    <w:rsid w:val="00D84AD4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107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ary.org/en/rotary-endowment" TargetMode="External"/><Relationship Id="rId13" Type="http://schemas.openxmlformats.org/officeDocument/2006/relationships/hyperlink" Target="https://raise.rotary.org/purposes/worldfun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.rotary.org/en/participate/support-our-foundation/annual-fund" TargetMode="External"/><Relationship Id="rId12" Type="http://schemas.openxmlformats.org/officeDocument/2006/relationships/hyperlink" Target="https://rotary.planmygift.org/documents/r/rotary-international-foundation/pdf-guidelines-disaster-respons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otary.planmygift.org/ira-charitable-rollov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acdb.com/Rotary/Accounts/6780/Downloads/3857/Rotary%20Foundation%20Donation%20Form.pdf" TargetMode="External"/><Relationship Id="rId11" Type="http://schemas.openxmlformats.org/officeDocument/2006/relationships/hyperlink" Target="https://rotary.planmygift.org/documents/r/rotary-international-foundation/pdf-guidelines-disaster-response.pdf" TargetMode="External"/><Relationship Id="rId5" Type="http://schemas.openxmlformats.org/officeDocument/2006/relationships/hyperlink" Target="https://my.rotary.org/en/donate" TargetMode="External"/><Relationship Id="rId15" Type="http://schemas.openxmlformats.org/officeDocument/2006/relationships/hyperlink" Target="https://rotary.planmygift.org/ira-charitable-rollover" TargetMode="External"/><Relationship Id="rId10" Type="http://schemas.openxmlformats.org/officeDocument/2006/relationships/hyperlink" Target="https://www.rotary.org/en/plus-polio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tary.org/en/rotary-endowment" TargetMode="External"/><Relationship Id="rId14" Type="http://schemas.openxmlformats.org/officeDocument/2006/relationships/hyperlink" Target="https://www.rotary.org/en/our-cau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2753</Characters>
  <Application>Microsoft Office Word</Application>
  <DocSecurity>0</DocSecurity>
  <Lines>79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Mills</dc:creator>
  <cp:keywords/>
  <cp:lastModifiedBy>Roger Barnes</cp:lastModifiedBy>
  <cp:revision>3</cp:revision>
  <cp:lastPrinted>2025-09-11T02:58:00Z</cp:lastPrinted>
  <dcterms:created xsi:type="dcterms:W3CDTF">2025-10-21T17:34:00Z</dcterms:created>
  <dcterms:modified xsi:type="dcterms:W3CDTF">2025-10-21T19:23:00Z</dcterms:modified>
</cp:coreProperties>
</file>