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6ADA" w14:textId="6AC02E07" w:rsidR="007E55E4" w:rsidRDefault="00161F10">
      <w:pPr>
        <w:spacing w:after="60"/>
      </w:pPr>
      <w:r>
        <w:rPr>
          <w:rFonts w:ascii="Arial" w:eastAsia="Arial" w:hAnsi="Arial" w:cs="Arial"/>
          <w:color w:val="666666"/>
          <w:spacing w:val="30"/>
          <w:sz w:val="17"/>
          <w:szCs w:val="17"/>
        </w:rPr>
        <w:t xml:space="preserve">ROTARY GLOBAL GRANT </w:t>
      </w:r>
      <w:r w:rsidR="007305B4">
        <w:rPr>
          <w:rFonts w:ascii="Arial" w:eastAsia="Arial" w:hAnsi="Arial" w:cs="Arial"/>
          <w:color w:val="666666"/>
          <w:spacing w:val="30"/>
          <w:sz w:val="17"/>
          <w:szCs w:val="17"/>
        </w:rPr>
        <w:t xml:space="preserve">INITIATIVE </w:t>
      </w:r>
      <w:r w:rsidR="00BD4D6F">
        <w:rPr>
          <w:rFonts w:ascii="Arial" w:eastAsia="Arial" w:hAnsi="Arial" w:cs="Arial"/>
          <w:color w:val="666666"/>
          <w:spacing w:val="30"/>
          <w:sz w:val="17"/>
          <w:szCs w:val="17"/>
        </w:rPr>
        <w:t>· MATERNAL</w:t>
      </w:r>
      <w:r>
        <w:rPr>
          <w:rFonts w:ascii="Arial" w:eastAsia="Arial" w:hAnsi="Arial" w:cs="Arial"/>
          <w:color w:val="666666"/>
          <w:spacing w:val="30"/>
          <w:sz w:val="17"/>
          <w:szCs w:val="17"/>
        </w:rPr>
        <w:t xml:space="preserve"> &amp; CHILD HEALTH</w:t>
      </w:r>
    </w:p>
    <w:p w14:paraId="537209CE" w14:textId="77777777" w:rsidR="007E55E4" w:rsidRDefault="00161F10">
      <w:pPr>
        <w:pBdr>
          <w:bottom w:val="single" w:sz="16" w:space="0" w:color="000000"/>
        </w:pBdr>
        <w:spacing w:after="80"/>
      </w:pPr>
      <w:r>
        <w:rPr>
          <w:rFonts w:ascii="Georgia" w:eastAsia="Georgia" w:hAnsi="Georgia" w:cs="Georgia"/>
          <w:color w:val="000000"/>
          <w:sz w:val="56"/>
          <w:szCs w:val="56"/>
        </w:rPr>
        <w:t>Maranatha Maternity Initiative</w:t>
      </w:r>
    </w:p>
    <w:p w14:paraId="58EF1128" w14:textId="051F4840" w:rsidR="007E55E4" w:rsidRDefault="00161F10">
      <w:pPr>
        <w:spacing w:after="60"/>
      </w:pPr>
      <w:proofErr w:type="spellStart"/>
      <w:r>
        <w:rPr>
          <w:rFonts w:ascii="Arial" w:eastAsia="Arial" w:hAnsi="Arial" w:cs="Arial"/>
          <w:i/>
          <w:iCs/>
          <w:color w:val="666666"/>
        </w:rPr>
        <w:t>Nakasongola</w:t>
      </w:r>
      <w:proofErr w:type="spellEnd"/>
      <w:r>
        <w:rPr>
          <w:rFonts w:ascii="Arial" w:eastAsia="Arial" w:hAnsi="Arial" w:cs="Arial"/>
          <w:i/>
          <w:iCs/>
          <w:color w:val="666666"/>
        </w:rPr>
        <w:t xml:space="preserve"> Health Centre </w:t>
      </w:r>
      <w:r w:rsidR="007305B4">
        <w:rPr>
          <w:rFonts w:ascii="Arial" w:eastAsia="Arial" w:hAnsi="Arial" w:cs="Arial"/>
          <w:i/>
          <w:iCs/>
          <w:color w:val="666666"/>
        </w:rPr>
        <w:t xml:space="preserve">IV · </w:t>
      </w:r>
      <w:proofErr w:type="spellStart"/>
      <w:r w:rsidR="007305B4">
        <w:rPr>
          <w:rFonts w:ascii="Arial" w:eastAsia="Arial" w:hAnsi="Arial" w:cs="Arial"/>
          <w:i/>
          <w:iCs/>
          <w:color w:val="666666"/>
        </w:rPr>
        <w:t>Nakasongola</w:t>
      </w:r>
      <w:proofErr w:type="spellEnd"/>
      <w:r>
        <w:rPr>
          <w:rFonts w:ascii="Arial" w:eastAsia="Arial" w:hAnsi="Arial" w:cs="Arial"/>
          <w:i/>
          <w:iCs/>
          <w:color w:val="666666"/>
        </w:rPr>
        <w:t xml:space="preserve"> District, Central Uganda</w:t>
      </w:r>
    </w:p>
    <w:p w14:paraId="667205E5" w14:textId="77777777" w:rsidR="007E55E4" w:rsidRDefault="00161F10">
      <w:pPr>
        <w:spacing w:after="20"/>
      </w:pPr>
      <w:r>
        <w:rPr>
          <w:rFonts w:ascii="Arial" w:eastAsia="Arial" w:hAnsi="Arial" w:cs="Arial"/>
          <w:b/>
          <w:bCs/>
          <w:color w:val="000000"/>
        </w:rPr>
        <w:t xml:space="preserve">Duration: </w:t>
      </w:r>
      <w:r>
        <w:rPr>
          <w:rFonts w:ascii="Arial" w:eastAsia="Arial" w:hAnsi="Arial" w:cs="Arial"/>
          <w:color w:val="444444"/>
        </w:rPr>
        <w:t>18–24 months</w:t>
      </w:r>
    </w:p>
    <w:p w14:paraId="3F58FE47" w14:textId="77777777" w:rsidR="007E55E4" w:rsidRDefault="00161F10">
      <w:pPr>
        <w:spacing w:after="20"/>
      </w:pPr>
      <w:r>
        <w:rPr>
          <w:rFonts w:ascii="Arial" w:eastAsia="Arial" w:hAnsi="Arial" w:cs="Arial"/>
          <w:b/>
          <w:bCs/>
          <w:color w:val="000000"/>
        </w:rPr>
        <w:t xml:space="preserve">Budget: </w:t>
      </w:r>
      <w:r>
        <w:rPr>
          <w:rFonts w:ascii="Arial" w:eastAsia="Arial" w:hAnsi="Arial" w:cs="Arial"/>
          <w:color w:val="444444"/>
        </w:rPr>
        <w:t>$172,500 – $187,500</w:t>
      </w:r>
    </w:p>
    <w:p w14:paraId="541FCCB3" w14:textId="77777777" w:rsidR="007E55E4" w:rsidRDefault="00161F10">
      <w:pPr>
        <w:spacing w:after="20"/>
      </w:pPr>
      <w:r>
        <w:rPr>
          <w:rFonts w:ascii="Arial" w:eastAsia="Arial" w:hAnsi="Arial" w:cs="Arial"/>
          <w:b/>
          <w:bCs/>
          <w:color w:val="000000"/>
        </w:rPr>
        <w:t xml:space="preserve">Area of Focus: </w:t>
      </w:r>
      <w:r>
        <w:rPr>
          <w:rFonts w:ascii="Arial" w:eastAsia="Arial" w:hAnsi="Arial" w:cs="Arial"/>
          <w:color w:val="444444"/>
        </w:rPr>
        <w:t>Maternal &amp; Child Health</w:t>
      </w:r>
    </w:p>
    <w:p w14:paraId="62FCBFE0" w14:textId="77777777" w:rsidR="007E55E4" w:rsidRDefault="00161F10">
      <w:pPr>
        <w:spacing w:after="20"/>
      </w:pPr>
      <w:r>
        <w:rPr>
          <w:rFonts w:ascii="Arial" w:eastAsia="Arial" w:hAnsi="Arial" w:cs="Arial"/>
          <w:b/>
          <w:bCs/>
          <w:color w:val="000000"/>
        </w:rPr>
        <w:t xml:space="preserve">Cooperating Organization: </w:t>
      </w:r>
      <w:r>
        <w:rPr>
          <w:rFonts w:ascii="Arial" w:eastAsia="Arial" w:hAnsi="Arial" w:cs="Arial"/>
          <w:color w:val="444444"/>
        </w:rPr>
        <w:t>Partners for World Health, Portland, Maine</w:t>
      </w:r>
    </w:p>
    <w:p w14:paraId="1559CDD8" w14:textId="22C144E2" w:rsidR="007E55E4" w:rsidRDefault="00161F10">
      <w:pPr>
        <w:spacing w:after="20"/>
        <w:rPr>
          <w:rFonts w:ascii="Arial" w:eastAsia="Arial" w:hAnsi="Arial" w:cs="Arial"/>
          <w:color w:val="444444"/>
        </w:rPr>
      </w:pPr>
      <w:r>
        <w:rPr>
          <w:rFonts w:ascii="Arial" w:eastAsia="Arial" w:hAnsi="Arial" w:cs="Arial"/>
          <w:b/>
          <w:bCs/>
          <w:color w:val="000000"/>
        </w:rPr>
        <w:t xml:space="preserve">International Sponsor: </w:t>
      </w:r>
      <w:r>
        <w:rPr>
          <w:rFonts w:ascii="Arial" w:eastAsia="Arial" w:hAnsi="Arial" w:cs="Arial"/>
          <w:color w:val="444444"/>
        </w:rPr>
        <w:t>Rotary Club of S</w:t>
      </w:r>
      <w:r w:rsidR="00BD4D6F">
        <w:rPr>
          <w:rFonts w:ascii="Arial" w:eastAsia="Arial" w:hAnsi="Arial" w:cs="Arial"/>
          <w:color w:val="444444"/>
        </w:rPr>
        <w:t>outh</w:t>
      </w:r>
      <w:r>
        <w:rPr>
          <w:rFonts w:ascii="Arial" w:eastAsia="Arial" w:hAnsi="Arial" w:cs="Arial"/>
          <w:color w:val="444444"/>
        </w:rPr>
        <w:t xml:space="preserve"> Portland / Cape Elizabeth, ME</w:t>
      </w:r>
    </w:p>
    <w:p w14:paraId="00C2ABDC" w14:textId="2722BBC1" w:rsidR="004B310B" w:rsidRDefault="004B310B">
      <w:pPr>
        <w:spacing w:after="20"/>
      </w:pPr>
      <w:r w:rsidRPr="004B310B">
        <w:rPr>
          <w:rFonts w:ascii="Arial" w:eastAsia="Arial" w:hAnsi="Arial" w:cs="Arial"/>
          <w:b/>
          <w:bCs/>
        </w:rPr>
        <w:t>Host Sponsor</w:t>
      </w:r>
      <w:r>
        <w:rPr>
          <w:rFonts w:ascii="Arial" w:eastAsia="Arial" w:hAnsi="Arial" w:cs="Arial"/>
          <w:color w:val="444444"/>
        </w:rPr>
        <w:t>: Rotary Club of Kampala East</w:t>
      </w:r>
    </w:p>
    <w:p w14:paraId="313A864D" w14:textId="77777777" w:rsidR="007E55E4" w:rsidRDefault="00161F10">
      <w:pPr>
        <w:pBdr>
          <w:top w:val="single" w:sz="4" w:space="0" w:color="000000"/>
          <w:left w:val="single" w:sz="24" w:space="0" w:color="000000"/>
          <w:bottom w:val="single" w:sz="4" w:space="0" w:color="000000"/>
        </w:pBdr>
        <w:spacing w:before="160" w:after="200"/>
        <w:ind w:left="200"/>
      </w:pPr>
      <w:proofErr w:type="spellStart"/>
      <w:r>
        <w:rPr>
          <w:rFonts w:ascii="Georgia" w:eastAsia="Georgia" w:hAnsi="Georgia" w:cs="Georgia"/>
          <w:i/>
          <w:iCs/>
          <w:color w:val="000000"/>
          <w:sz w:val="24"/>
          <w:szCs w:val="24"/>
        </w:rPr>
        <w:t>Nakasongola</w:t>
      </w:r>
      <w:proofErr w:type="spellEnd"/>
      <w:r>
        <w:rPr>
          <w:rFonts w:ascii="Georgia" w:eastAsia="Georgia" w:hAnsi="Georgia" w:cs="Georgia"/>
          <w:i/>
          <w:iCs/>
          <w:color w:val="000000"/>
          <w:sz w:val="24"/>
          <w:szCs w:val="24"/>
        </w:rPr>
        <w:t xml:space="preserve"> District’s primary referral facility serves surrounding rural sub-counties yet lacks the equipment and trained capacity to deliver safe, reliable maternal and newborn care. The Maranatha Maternity Initiative will fully equip the newly constructed Maranatha II maternity ward and build lasting clinical capacity — giving thousands of mothers and newborns the safe start they deserve.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7E55E4" w14:paraId="01D26007" w14:textId="77777777">
        <w:tc>
          <w:tcPr>
            <w:tcW w:w="3000" w:type="dxa"/>
            <w:tcBorders>
              <w:top w:val="single" w:sz="18"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D3EFF9B" w14:textId="77777777" w:rsidR="007E55E4" w:rsidRDefault="00161F10">
            <w:pPr>
              <w:jc w:val="center"/>
            </w:pPr>
            <w:r>
              <w:rPr>
                <w:rFonts w:ascii="Georgia" w:eastAsia="Georgia" w:hAnsi="Georgia" w:cs="Georgia"/>
                <w:b/>
                <w:bCs/>
                <w:color w:val="000000"/>
                <w:sz w:val="56"/>
                <w:szCs w:val="56"/>
              </w:rPr>
              <w:t>4</w:t>
            </w:r>
          </w:p>
          <w:p w14:paraId="64E0A9A9" w14:textId="77777777" w:rsidR="007E55E4" w:rsidRDefault="00161F10">
            <w:pPr>
              <w:spacing w:before="40"/>
              <w:jc w:val="center"/>
            </w:pPr>
            <w:r>
              <w:rPr>
                <w:rFonts w:ascii="Arial" w:eastAsia="Arial" w:hAnsi="Arial" w:cs="Arial"/>
                <w:color w:val="444444"/>
                <w:sz w:val="17"/>
                <w:szCs w:val="17"/>
              </w:rPr>
              <w:t>Forty-foot containers of surplus U.S. hospital equipment &amp; supplies</w:t>
            </w:r>
          </w:p>
        </w:tc>
        <w:tc>
          <w:tcPr>
            <w:tcW w:w="3000" w:type="dxa"/>
            <w:tcBorders>
              <w:top w:val="single" w:sz="18"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9D995C2" w14:textId="77777777" w:rsidR="007E55E4" w:rsidRDefault="00161F10">
            <w:pPr>
              <w:jc w:val="center"/>
            </w:pPr>
            <w:r>
              <w:rPr>
                <w:rFonts w:ascii="Georgia" w:eastAsia="Georgia" w:hAnsi="Georgia" w:cs="Georgia"/>
                <w:b/>
                <w:bCs/>
                <w:color w:val="000000"/>
                <w:sz w:val="56"/>
                <w:szCs w:val="56"/>
              </w:rPr>
              <w:t>64</w:t>
            </w:r>
          </w:p>
          <w:p w14:paraId="4B52F364" w14:textId="77777777" w:rsidR="007E55E4" w:rsidRDefault="00161F10">
            <w:pPr>
              <w:spacing w:before="40"/>
              <w:jc w:val="center"/>
            </w:pPr>
            <w:r>
              <w:rPr>
                <w:rFonts w:ascii="Arial" w:eastAsia="Arial" w:hAnsi="Arial" w:cs="Arial"/>
                <w:color w:val="444444"/>
                <w:sz w:val="17"/>
                <w:szCs w:val="17"/>
              </w:rPr>
              <w:t>Fewer infant deaths projected per year (20% neonatal mortality reduction)</w:t>
            </w:r>
          </w:p>
        </w:tc>
        <w:tc>
          <w:tcPr>
            <w:tcW w:w="3000" w:type="dxa"/>
            <w:tcBorders>
              <w:top w:val="single" w:sz="18"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8501AD8" w14:textId="77777777" w:rsidR="007E55E4" w:rsidRDefault="00161F10">
            <w:pPr>
              <w:jc w:val="center"/>
            </w:pPr>
            <w:r>
              <w:rPr>
                <w:rFonts w:ascii="Georgia" w:eastAsia="Georgia" w:hAnsi="Georgia" w:cs="Georgia"/>
                <w:b/>
                <w:bCs/>
                <w:color w:val="000000"/>
                <w:sz w:val="56"/>
                <w:szCs w:val="56"/>
              </w:rPr>
              <w:t>1</w:t>
            </w:r>
          </w:p>
          <w:p w14:paraId="4422B04D" w14:textId="77777777" w:rsidR="007E55E4" w:rsidRDefault="00161F10">
            <w:pPr>
              <w:spacing w:before="40"/>
              <w:jc w:val="center"/>
            </w:pPr>
            <w:r>
              <w:rPr>
                <w:rFonts w:ascii="Arial" w:eastAsia="Arial" w:hAnsi="Arial" w:cs="Arial"/>
                <w:color w:val="444444"/>
                <w:sz w:val="17"/>
                <w:szCs w:val="17"/>
              </w:rPr>
              <w:t>Medical Service Trip providing hands-on staff training &amp; capacity building</w:t>
            </w:r>
          </w:p>
        </w:tc>
      </w:tr>
    </w:tbl>
    <w:p w14:paraId="7EBAAF27" w14:textId="77777777" w:rsidR="007E55E4" w:rsidRDefault="007E55E4">
      <w:pPr>
        <w:spacing w:after="200"/>
      </w:pPr>
    </w:p>
    <w:p w14:paraId="5ADE575E" w14:textId="77777777" w:rsidR="007E55E4" w:rsidRDefault="00161F10">
      <w:pPr>
        <w:pBdr>
          <w:bottom w:val="single" w:sz="8" w:space="0" w:color="000000"/>
        </w:pBdr>
        <w:spacing w:before="200" w:after="80"/>
      </w:pPr>
      <w:r>
        <w:rPr>
          <w:rFonts w:ascii="Arial" w:eastAsia="Arial" w:hAnsi="Arial" w:cs="Arial"/>
          <w:b/>
          <w:bCs/>
          <w:color w:val="000000"/>
          <w:spacing w:val="40"/>
          <w:sz w:val="18"/>
          <w:szCs w:val="18"/>
        </w:rPr>
        <w:t>COMMUNITY NEED</w:t>
      </w:r>
    </w:p>
    <w:p w14:paraId="1ECA86CB" w14:textId="77777777" w:rsidR="007E55E4" w:rsidRDefault="00161F10">
      <w:pPr>
        <w:spacing w:after="200"/>
      </w:pPr>
      <w:proofErr w:type="spellStart"/>
      <w:r>
        <w:rPr>
          <w:rFonts w:ascii="Arial" w:eastAsia="Arial" w:hAnsi="Arial" w:cs="Arial"/>
          <w:color w:val="111111"/>
          <w:sz w:val="22"/>
          <w:szCs w:val="22"/>
        </w:rPr>
        <w:t>Nakasongola</w:t>
      </w:r>
      <w:proofErr w:type="spellEnd"/>
      <w:r>
        <w:rPr>
          <w:rFonts w:ascii="Arial" w:eastAsia="Arial" w:hAnsi="Arial" w:cs="Arial"/>
          <w:color w:val="111111"/>
          <w:sz w:val="22"/>
          <w:szCs w:val="22"/>
        </w:rPr>
        <w:t xml:space="preserve"> Health Centre IV is the principal referral facility for a predominantly rural district in central Uganda. Despite serving a large catchment population of pregnant women and newborns, the Maranatha II maternity ward currently lacks essential medical equipment and supplies for safe deliveries, emergency obstetric care, and newborn services. A formal community assessment — conducted with facility leadership, district health officials, midwives, and community representatives — will guide procurement priorities</w:t>
      </w:r>
      <w:r>
        <w:rPr>
          <w:rFonts w:ascii="Arial" w:eastAsia="Arial" w:hAnsi="Arial" w:cs="Arial"/>
          <w:color w:val="111111"/>
          <w:sz w:val="22"/>
          <w:szCs w:val="22"/>
        </w:rPr>
        <w:t xml:space="preserve"> and training design.</w:t>
      </w:r>
    </w:p>
    <w:p w14:paraId="5AA1E4D3" w14:textId="77777777" w:rsidR="007E55E4" w:rsidRDefault="00161F10">
      <w:pPr>
        <w:pBdr>
          <w:bottom w:val="single" w:sz="8" w:space="0" w:color="000000"/>
        </w:pBdr>
        <w:spacing w:before="200" w:after="80"/>
      </w:pPr>
      <w:r>
        <w:rPr>
          <w:rFonts w:ascii="Arial" w:eastAsia="Arial" w:hAnsi="Arial" w:cs="Arial"/>
          <w:b/>
          <w:bCs/>
          <w:color w:val="000000"/>
          <w:spacing w:val="40"/>
          <w:sz w:val="18"/>
          <w:szCs w:val="18"/>
        </w:rPr>
        <w:t>PROJECT OBJECTIVES</w:t>
      </w:r>
    </w:p>
    <w:p w14:paraId="0FD44CA5" w14:textId="77777777" w:rsidR="007E55E4" w:rsidRDefault="00161F10">
      <w:pPr>
        <w:pStyle w:val="ListParagraph"/>
        <w:numPr>
          <w:ilvl w:val="0"/>
          <w:numId w:val="2"/>
        </w:numPr>
        <w:spacing w:after="40"/>
      </w:pPr>
      <w:r>
        <w:rPr>
          <w:rFonts w:ascii="Arial" w:eastAsia="Arial" w:hAnsi="Arial" w:cs="Arial"/>
          <w:color w:val="111111"/>
          <w:sz w:val="22"/>
          <w:szCs w:val="22"/>
        </w:rPr>
        <w:t>Equip the ward with safe, functional equipment for routine &amp; emergency obstetric and neonatal care</w:t>
      </w:r>
    </w:p>
    <w:p w14:paraId="5E8D0F2F" w14:textId="77777777" w:rsidR="007E55E4" w:rsidRDefault="00161F10">
      <w:pPr>
        <w:pStyle w:val="ListParagraph"/>
        <w:numPr>
          <w:ilvl w:val="0"/>
          <w:numId w:val="2"/>
        </w:numPr>
        <w:spacing w:after="40"/>
      </w:pPr>
      <w:r>
        <w:rPr>
          <w:rFonts w:ascii="Arial" w:eastAsia="Arial" w:hAnsi="Arial" w:cs="Arial"/>
          <w:color w:val="111111"/>
          <w:sz w:val="22"/>
          <w:szCs w:val="22"/>
        </w:rPr>
        <w:t>Expand access to quality maternal health services for women in the catchment area</w:t>
      </w:r>
    </w:p>
    <w:p w14:paraId="648C7595" w14:textId="77777777" w:rsidR="007E55E4" w:rsidRDefault="00161F10">
      <w:pPr>
        <w:pStyle w:val="ListParagraph"/>
        <w:numPr>
          <w:ilvl w:val="0"/>
          <w:numId w:val="2"/>
        </w:numPr>
        <w:spacing w:after="40"/>
      </w:pPr>
      <w:r>
        <w:rPr>
          <w:rFonts w:ascii="Arial" w:eastAsia="Arial" w:hAnsi="Arial" w:cs="Arial"/>
          <w:color w:val="111111"/>
          <w:sz w:val="22"/>
          <w:szCs w:val="22"/>
        </w:rPr>
        <w:t>Strengthen capacity for clean, safe deliveries and postnatal care</w:t>
      </w:r>
    </w:p>
    <w:p w14:paraId="7B87CA77" w14:textId="77777777" w:rsidR="007E55E4" w:rsidRDefault="00161F10">
      <w:pPr>
        <w:pStyle w:val="ListParagraph"/>
        <w:numPr>
          <w:ilvl w:val="0"/>
          <w:numId w:val="2"/>
        </w:numPr>
        <w:spacing w:after="40"/>
      </w:pPr>
      <w:r>
        <w:rPr>
          <w:rFonts w:ascii="Arial" w:eastAsia="Arial" w:hAnsi="Arial" w:cs="Arial"/>
          <w:color w:val="111111"/>
          <w:sz w:val="22"/>
          <w:szCs w:val="22"/>
        </w:rPr>
        <w:t xml:space="preserve">Reduce neonatal mortality in </w:t>
      </w:r>
      <w:proofErr w:type="spellStart"/>
      <w:r>
        <w:rPr>
          <w:rFonts w:ascii="Arial" w:eastAsia="Arial" w:hAnsi="Arial" w:cs="Arial"/>
          <w:color w:val="111111"/>
          <w:sz w:val="22"/>
          <w:szCs w:val="22"/>
        </w:rPr>
        <w:t>Nakasongola</w:t>
      </w:r>
      <w:proofErr w:type="spellEnd"/>
      <w:r>
        <w:rPr>
          <w:rFonts w:ascii="Arial" w:eastAsia="Arial" w:hAnsi="Arial" w:cs="Arial"/>
          <w:color w:val="111111"/>
          <w:sz w:val="22"/>
          <w:szCs w:val="22"/>
        </w:rPr>
        <w:t xml:space="preserve"> by 20% — an estimated 64 fewer deaths per year</w:t>
      </w:r>
    </w:p>
    <w:p w14:paraId="236F224E" w14:textId="77777777" w:rsidR="007E55E4" w:rsidRDefault="007E55E4">
      <w:pPr>
        <w:spacing w:after="120"/>
      </w:pPr>
    </w:p>
    <w:p w14:paraId="7983D38A" w14:textId="77777777" w:rsidR="007E55E4" w:rsidRDefault="00161F10">
      <w:pPr>
        <w:pBdr>
          <w:bottom w:val="single" w:sz="8" w:space="0" w:color="000000"/>
        </w:pBdr>
        <w:spacing w:before="200" w:after="80"/>
      </w:pPr>
      <w:r>
        <w:rPr>
          <w:rFonts w:ascii="Arial" w:eastAsia="Arial" w:hAnsi="Arial" w:cs="Arial"/>
          <w:b/>
          <w:bCs/>
          <w:color w:val="000000"/>
          <w:spacing w:val="40"/>
          <w:sz w:val="18"/>
          <w:szCs w:val="18"/>
        </w:rPr>
        <w:t>EQUIPMENT &amp; SUPPLIES</w:t>
      </w:r>
    </w:p>
    <w:p w14:paraId="515740BB" w14:textId="77777777" w:rsidR="007E55E4" w:rsidRDefault="00161F10">
      <w:pPr>
        <w:pStyle w:val="ListParagraph"/>
        <w:numPr>
          <w:ilvl w:val="0"/>
          <w:numId w:val="2"/>
        </w:numPr>
        <w:spacing w:after="40"/>
      </w:pPr>
      <w:r>
        <w:rPr>
          <w:rFonts w:ascii="Arial" w:eastAsia="Arial" w:hAnsi="Arial" w:cs="Arial"/>
          <w:color w:val="111111"/>
          <w:sz w:val="22"/>
          <w:szCs w:val="22"/>
        </w:rPr>
        <w:t>Delivery beds, examination tables, and ward furniture</w:t>
      </w:r>
    </w:p>
    <w:p w14:paraId="1B5B197B" w14:textId="77777777" w:rsidR="007E55E4" w:rsidRDefault="00161F10">
      <w:pPr>
        <w:pStyle w:val="ListParagraph"/>
        <w:numPr>
          <w:ilvl w:val="0"/>
          <w:numId w:val="2"/>
        </w:numPr>
        <w:spacing w:after="40"/>
      </w:pPr>
      <w:r>
        <w:rPr>
          <w:rFonts w:ascii="Arial" w:eastAsia="Arial" w:hAnsi="Arial" w:cs="Arial"/>
          <w:color w:val="111111"/>
          <w:sz w:val="22"/>
          <w:szCs w:val="22"/>
        </w:rPr>
        <w:t>Neonatal warmers, bassinets, and resuscitation equipment</w:t>
      </w:r>
    </w:p>
    <w:p w14:paraId="10ED4B78" w14:textId="77777777" w:rsidR="007E55E4" w:rsidRDefault="00161F10">
      <w:pPr>
        <w:pStyle w:val="ListParagraph"/>
        <w:numPr>
          <w:ilvl w:val="0"/>
          <w:numId w:val="2"/>
        </w:numPr>
        <w:spacing w:after="40"/>
      </w:pPr>
      <w:r>
        <w:rPr>
          <w:rFonts w:ascii="Arial" w:eastAsia="Arial" w:hAnsi="Arial" w:cs="Arial"/>
          <w:color w:val="111111"/>
          <w:sz w:val="22"/>
          <w:szCs w:val="22"/>
        </w:rPr>
        <w:t>Autoclaves, sterilization, and infection prevention supplies</w:t>
      </w:r>
    </w:p>
    <w:p w14:paraId="7A74EE84" w14:textId="77777777" w:rsidR="007E55E4" w:rsidRDefault="00161F10">
      <w:pPr>
        <w:pStyle w:val="ListParagraph"/>
        <w:numPr>
          <w:ilvl w:val="0"/>
          <w:numId w:val="2"/>
        </w:numPr>
        <w:spacing w:after="40"/>
      </w:pPr>
      <w:r>
        <w:rPr>
          <w:rFonts w:ascii="Arial" w:eastAsia="Arial" w:hAnsi="Arial" w:cs="Arial"/>
          <w:color w:val="111111"/>
          <w:sz w:val="22"/>
          <w:szCs w:val="22"/>
        </w:rPr>
        <w:t>Surgical lighting and basic patient monitoring equipment</w:t>
      </w:r>
    </w:p>
    <w:p w14:paraId="72EF396F" w14:textId="77777777" w:rsidR="007E55E4" w:rsidRDefault="00161F10">
      <w:pPr>
        <w:pStyle w:val="ListParagraph"/>
        <w:numPr>
          <w:ilvl w:val="0"/>
          <w:numId w:val="2"/>
        </w:numPr>
        <w:spacing w:after="40"/>
      </w:pPr>
      <w:r>
        <w:rPr>
          <w:rFonts w:ascii="Arial" w:eastAsia="Arial" w:hAnsi="Arial" w:cs="Arial"/>
          <w:color w:val="111111"/>
          <w:sz w:val="22"/>
          <w:szCs w:val="22"/>
        </w:rPr>
        <w:t>Medical waste management equipment, including an incinerator and associated supplies for safe clinical waste disposal</w:t>
      </w:r>
    </w:p>
    <w:p w14:paraId="5E7B3E59" w14:textId="77777777" w:rsidR="007E55E4" w:rsidRDefault="00161F10">
      <w:pPr>
        <w:pStyle w:val="ListParagraph"/>
        <w:numPr>
          <w:ilvl w:val="0"/>
          <w:numId w:val="2"/>
        </w:numPr>
        <w:spacing w:after="40"/>
      </w:pPr>
      <w:r>
        <w:rPr>
          <w:rFonts w:ascii="Arial" w:eastAsia="Arial" w:hAnsi="Arial" w:cs="Arial"/>
          <w:color w:val="111111"/>
          <w:sz w:val="22"/>
          <w:szCs w:val="22"/>
        </w:rPr>
        <w:t>All items selected per Uganda Ministry of Health equipment list and validated by facility leadership prior to shipment</w:t>
      </w:r>
    </w:p>
    <w:p w14:paraId="3913D33E" w14:textId="77777777" w:rsidR="007E55E4" w:rsidRDefault="007E55E4">
      <w:pPr>
        <w:spacing w:after="120"/>
      </w:pPr>
    </w:p>
    <w:p w14:paraId="590AC7CD" w14:textId="77777777" w:rsidR="004B310B" w:rsidRDefault="004B310B">
      <w:pPr>
        <w:pBdr>
          <w:bottom w:val="single" w:sz="8" w:space="0" w:color="000000"/>
        </w:pBdr>
        <w:spacing w:before="200" w:after="80"/>
        <w:rPr>
          <w:rFonts w:ascii="Arial" w:eastAsia="Arial" w:hAnsi="Arial" w:cs="Arial"/>
          <w:b/>
          <w:bCs/>
          <w:color w:val="000000"/>
          <w:spacing w:val="40"/>
          <w:sz w:val="18"/>
          <w:szCs w:val="18"/>
        </w:rPr>
      </w:pPr>
    </w:p>
    <w:p w14:paraId="489BD57A" w14:textId="07B58061" w:rsidR="007E55E4" w:rsidRDefault="00161F10">
      <w:pPr>
        <w:pBdr>
          <w:bottom w:val="single" w:sz="8" w:space="0" w:color="000000"/>
        </w:pBdr>
        <w:spacing w:before="200" w:after="80"/>
      </w:pPr>
      <w:r>
        <w:rPr>
          <w:rFonts w:ascii="Arial" w:eastAsia="Arial" w:hAnsi="Arial" w:cs="Arial"/>
          <w:b/>
          <w:bCs/>
          <w:color w:val="000000"/>
          <w:spacing w:val="40"/>
          <w:sz w:val="18"/>
          <w:szCs w:val="18"/>
        </w:rPr>
        <w:lastRenderedPageBreak/>
        <w:t>CAPACITY BUILDING &amp; MEDICAL SERVICE TRIP</w:t>
      </w:r>
    </w:p>
    <w:p w14:paraId="1D598F00" w14:textId="2FAA1F6E" w:rsidR="007E55E4" w:rsidRDefault="00161F10">
      <w:pPr>
        <w:spacing w:after="200"/>
        <w:rPr>
          <w:rFonts w:ascii="Arial" w:eastAsia="Arial" w:hAnsi="Arial" w:cs="Arial"/>
          <w:color w:val="111111"/>
          <w:sz w:val="22"/>
          <w:szCs w:val="22"/>
        </w:rPr>
      </w:pPr>
      <w:r>
        <w:rPr>
          <w:rFonts w:ascii="Arial" w:eastAsia="Arial" w:hAnsi="Arial" w:cs="Arial"/>
          <w:color w:val="111111"/>
          <w:sz w:val="22"/>
          <w:szCs w:val="22"/>
        </w:rPr>
        <w:t>A Medical Service Trip (</w:t>
      </w:r>
      <w:r w:rsidR="007305B4">
        <w:rPr>
          <w:rFonts w:ascii="Arial" w:eastAsia="Arial" w:hAnsi="Arial" w:cs="Arial"/>
          <w:color w:val="111111"/>
          <w:sz w:val="22"/>
          <w:szCs w:val="22"/>
        </w:rPr>
        <w:t>MST)</w:t>
      </w:r>
      <w:r>
        <w:rPr>
          <w:rFonts w:ascii="Arial" w:eastAsia="Arial" w:hAnsi="Arial" w:cs="Arial"/>
          <w:color w:val="111111"/>
          <w:sz w:val="22"/>
          <w:szCs w:val="22"/>
        </w:rPr>
        <w:t xml:space="preserve"> coordinated by Partners for World Health alongside the Rotary Club </w:t>
      </w:r>
      <w:r w:rsidR="00A04E7F">
        <w:rPr>
          <w:rFonts w:ascii="Arial" w:eastAsia="Arial" w:hAnsi="Arial" w:cs="Arial"/>
          <w:color w:val="111111"/>
          <w:sz w:val="22"/>
          <w:szCs w:val="22"/>
        </w:rPr>
        <w:t>of Kampala</w:t>
      </w:r>
      <w:r w:rsidR="007305B4">
        <w:rPr>
          <w:rFonts w:ascii="Arial" w:eastAsia="Arial" w:hAnsi="Arial" w:cs="Arial"/>
          <w:color w:val="111111"/>
          <w:sz w:val="22"/>
          <w:szCs w:val="22"/>
        </w:rPr>
        <w:t xml:space="preserve"> East </w:t>
      </w:r>
      <w:r>
        <w:rPr>
          <w:rFonts w:ascii="Arial" w:eastAsia="Arial" w:hAnsi="Arial" w:cs="Arial"/>
          <w:color w:val="111111"/>
          <w:sz w:val="22"/>
          <w:szCs w:val="22"/>
        </w:rPr>
        <w:t>and district health officials will provide hands-on, non-clinical training for midwives, nurses, and clinicians. Volunteer medical professionals will cover the safe use and maintenance of donated equipment, neonatal resuscitation, infection prevention and control, emergency obstetric preparedness, safe delivery practices, and proper medical waste disposal. All activities are conducted alongside Ugandan health professionals i</w:t>
      </w:r>
      <w:r>
        <w:rPr>
          <w:rFonts w:ascii="Arial" w:eastAsia="Arial" w:hAnsi="Arial" w:cs="Arial"/>
          <w:color w:val="111111"/>
          <w:sz w:val="22"/>
          <w:szCs w:val="22"/>
        </w:rPr>
        <w:t>n alignment with Ministry of Health guidelines. No direct patient care is provided by visiting volunteers.</w:t>
      </w:r>
    </w:p>
    <w:p w14:paraId="4CD40B60" w14:textId="77777777" w:rsidR="004B310B" w:rsidRDefault="004B310B">
      <w:pPr>
        <w:spacing w:after="200"/>
      </w:pPr>
    </w:p>
    <w:p w14:paraId="0FCFB923" w14:textId="77777777" w:rsidR="007E55E4" w:rsidRDefault="00161F10">
      <w:pPr>
        <w:pBdr>
          <w:bottom w:val="single" w:sz="8" w:space="0" w:color="000000"/>
        </w:pBdr>
        <w:spacing w:before="200" w:after="80"/>
      </w:pPr>
      <w:r>
        <w:rPr>
          <w:rFonts w:ascii="Arial" w:eastAsia="Arial" w:hAnsi="Arial" w:cs="Arial"/>
          <w:b/>
          <w:bCs/>
          <w:color w:val="000000"/>
          <w:spacing w:val="40"/>
          <w:sz w:val="18"/>
          <w:szCs w:val="18"/>
        </w:rPr>
        <w:t>SUSTAINABILITY</w:t>
      </w:r>
    </w:p>
    <w:p w14:paraId="2EFE27CB" w14:textId="4DE4B2C6" w:rsidR="007E55E4" w:rsidRDefault="00161F10">
      <w:pPr>
        <w:pStyle w:val="ListParagraph"/>
        <w:numPr>
          <w:ilvl w:val="0"/>
          <w:numId w:val="2"/>
        </w:numPr>
        <w:spacing w:after="40"/>
      </w:pPr>
      <w:r>
        <w:rPr>
          <w:rFonts w:ascii="Arial" w:eastAsia="Arial" w:hAnsi="Arial" w:cs="Arial"/>
          <w:b/>
          <w:bCs/>
          <w:color w:val="000000"/>
          <w:sz w:val="22"/>
          <w:szCs w:val="22"/>
        </w:rPr>
        <w:t xml:space="preserve">Local ownership: </w:t>
      </w:r>
      <w:r>
        <w:rPr>
          <w:rFonts w:ascii="Arial" w:eastAsia="Arial" w:hAnsi="Arial" w:cs="Arial"/>
          <w:color w:val="111111"/>
          <w:sz w:val="22"/>
          <w:szCs w:val="22"/>
        </w:rPr>
        <w:t xml:space="preserve">Ward is government-owned; staffing and operating costs </w:t>
      </w:r>
      <w:r w:rsidR="00BD4D6F">
        <w:rPr>
          <w:rFonts w:ascii="Arial" w:eastAsia="Arial" w:hAnsi="Arial" w:cs="Arial"/>
          <w:color w:val="111111"/>
          <w:sz w:val="22"/>
          <w:szCs w:val="22"/>
        </w:rPr>
        <w:t xml:space="preserve">are </w:t>
      </w:r>
      <w:r>
        <w:rPr>
          <w:rFonts w:ascii="Arial" w:eastAsia="Arial" w:hAnsi="Arial" w:cs="Arial"/>
          <w:color w:val="111111"/>
          <w:sz w:val="22"/>
          <w:szCs w:val="22"/>
        </w:rPr>
        <w:t xml:space="preserve">covered by </w:t>
      </w:r>
      <w:r w:rsidR="00BD4D6F">
        <w:rPr>
          <w:rFonts w:ascii="Arial" w:eastAsia="Arial" w:hAnsi="Arial" w:cs="Arial"/>
          <w:color w:val="111111"/>
          <w:sz w:val="22"/>
          <w:szCs w:val="22"/>
        </w:rPr>
        <w:t>Uganda.</w:t>
      </w:r>
    </w:p>
    <w:p w14:paraId="67495370" w14:textId="77777777" w:rsidR="007E55E4" w:rsidRDefault="00161F10">
      <w:pPr>
        <w:pStyle w:val="ListParagraph"/>
        <w:numPr>
          <w:ilvl w:val="0"/>
          <w:numId w:val="2"/>
        </w:numPr>
        <w:spacing w:after="40"/>
      </w:pPr>
      <w:r>
        <w:rPr>
          <w:rFonts w:ascii="Arial" w:eastAsia="Arial" w:hAnsi="Arial" w:cs="Arial"/>
          <w:b/>
          <w:bCs/>
          <w:color w:val="000000"/>
          <w:sz w:val="22"/>
          <w:szCs w:val="22"/>
        </w:rPr>
        <w:t xml:space="preserve">Appropriate technology: </w:t>
      </w:r>
      <w:r>
        <w:rPr>
          <w:rFonts w:ascii="Arial" w:eastAsia="Arial" w:hAnsi="Arial" w:cs="Arial"/>
          <w:color w:val="111111"/>
          <w:sz w:val="22"/>
          <w:szCs w:val="22"/>
        </w:rPr>
        <w:t>Equipment selected for minimal reliance on proprietary consumables</w:t>
      </w:r>
    </w:p>
    <w:p w14:paraId="0312CE7A" w14:textId="77777777" w:rsidR="007E55E4" w:rsidRDefault="00161F10">
      <w:pPr>
        <w:pStyle w:val="ListParagraph"/>
        <w:numPr>
          <w:ilvl w:val="0"/>
          <w:numId w:val="2"/>
        </w:numPr>
        <w:spacing w:after="40"/>
      </w:pPr>
      <w:r>
        <w:rPr>
          <w:rFonts w:ascii="Arial" w:eastAsia="Arial" w:hAnsi="Arial" w:cs="Arial"/>
          <w:b/>
          <w:bCs/>
          <w:color w:val="000000"/>
          <w:sz w:val="22"/>
          <w:szCs w:val="22"/>
        </w:rPr>
        <w:t xml:space="preserve">Financial planning: </w:t>
      </w:r>
      <w:r>
        <w:rPr>
          <w:rFonts w:ascii="Arial" w:eastAsia="Arial" w:hAnsi="Arial" w:cs="Arial"/>
          <w:color w:val="111111"/>
          <w:sz w:val="22"/>
          <w:szCs w:val="22"/>
        </w:rPr>
        <w:t xml:space="preserve">Project team will work with </w:t>
      </w:r>
      <w:proofErr w:type="spellStart"/>
      <w:r>
        <w:rPr>
          <w:rFonts w:ascii="Arial" w:eastAsia="Arial" w:hAnsi="Arial" w:cs="Arial"/>
          <w:color w:val="111111"/>
          <w:sz w:val="22"/>
          <w:szCs w:val="22"/>
        </w:rPr>
        <w:t>Nakasongola</w:t>
      </w:r>
      <w:proofErr w:type="spellEnd"/>
      <w:r>
        <w:rPr>
          <w:rFonts w:ascii="Arial" w:eastAsia="Arial" w:hAnsi="Arial" w:cs="Arial"/>
          <w:color w:val="111111"/>
          <w:sz w:val="22"/>
          <w:szCs w:val="22"/>
        </w:rPr>
        <w:t xml:space="preserve"> District Government to embed routine supply costs into annual health budgets</w:t>
      </w:r>
    </w:p>
    <w:p w14:paraId="0387C92F" w14:textId="77777777" w:rsidR="007E55E4" w:rsidRDefault="00161F10">
      <w:pPr>
        <w:pStyle w:val="ListParagraph"/>
        <w:numPr>
          <w:ilvl w:val="0"/>
          <w:numId w:val="2"/>
        </w:numPr>
        <w:spacing w:after="40"/>
      </w:pPr>
      <w:r>
        <w:rPr>
          <w:rFonts w:ascii="Arial" w:eastAsia="Arial" w:hAnsi="Arial" w:cs="Arial"/>
          <w:b/>
          <w:bCs/>
          <w:color w:val="000000"/>
          <w:sz w:val="22"/>
          <w:szCs w:val="22"/>
        </w:rPr>
        <w:t xml:space="preserve">Waste management: </w:t>
      </w:r>
      <w:r>
        <w:rPr>
          <w:rFonts w:ascii="Arial" w:eastAsia="Arial" w:hAnsi="Arial" w:cs="Arial"/>
          <w:color w:val="111111"/>
          <w:sz w:val="22"/>
          <w:szCs w:val="22"/>
        </w:rPr>
        <w:t>Project will build clinical waste management capacity, including procurement of an incinerator and staff training on safe disposal practices</w:t>
      </w:r>
    </w:p>
    <w:p w14:paraId="0B3DBFA9" w14:textId="77777777" w:rsidR="007E55E4" w:rsidRDefault="00161F10">
      <w:pPr>
        <w:pStyle w:val="ListParagraph"/>
        <w:numPr>
          <w:ilvl w:val="0"/>
          <w:numId w:val="2"/>
        </w:numPr>
        <w:spacing w:after="40"/>
      </w:pPr>
      <w:r>
        <w:rPr>
          <w:rFonts w:ascii="Arial" w:eastAsia="Arial" w:hAnsi="Arial" w:cs="Arial"/>
          <w:b/>
          <w:bCs/>
          <w:color w:val="000000"/>
          <w:sz w:val="22"/>
          <w:szCs w:val="22"/>
        </w:rPr>
        <w:t xml:space="preserve">Environmental: </w:t>
      </w:r>
      <w:r>
        <w:rPr>
          <w:rFonts w:ascii="Arial" w:eastAsia="Arial" w:hAnsi="Arial" w:cs="Arial"/>
          <w:color w:val="111111"/>
          <w:sz w:val="22"/>
          <w:szCs w:val="22"/>
        </w:rPr>
        <w:t>Reuse of surplus U.S. hospital equipment reduces waste while closing critical gaps</w:t>
      </w:r>
    </w:p>
    <w:p w14:paraId="5AEE679D" w14:textId="77777777" w:rsidR="007E55E4" w:rsidRDefault="007E55E4">
      <w:pPr>
        <w:spacing w:after="120"/>
      </w:pPr>
    </w:p>
    <w:p w14:paraId="0709C995" w14:textId="77777777" w:rsidR="007E55E4" w:rsidRDefault="00161F10">
      <w:pPr>
        <w:pBdr>
          <w:bottom w:val="single" w:sz="8" w:space="0" w:color="000000"/>
        </w:pBdr>
        <w:spacing w:before="200" w:after="80"/>
      </w:pPr>
      <w:r>
        <w:rPr>
          <w:rFonts w:ascii="Arial" w:eastAsia="Arial" w:hAnsi="Arial" w:cs="Arial"/>
          <w:b/>
          <w:bCs/>
          <w:color w:val="000000"/>
          <w:spacing w:val="40"/>
          <w:sz w:val="18"/>
          <w:szCs w:val="18"/>
        </w:rPr>
        <w:t>ESTIMATED BUDGET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00"/>
      </w:tblGrid>
      <w:tr w:rsidR="007E55E4" w14:paraId="430CEC00" w14:textId="77777777">
        <w:tc>
          <w:tcPr>
            <w:tcW w:w="6000" w:type="dxa"/>
            <w:tcBorders>
              <w:top w:val="none" w:sz="0" w:space="0" w:color="FFFFFF"/>
              <w:left w:val="none" w:sz="0" w:space="0" w:color="FFFFFF"/>
              <w:bottom w:val="single" w:sz="4" w:space="0" w:color="CCCCCC"/>
              <w:right w:val="none" w:sz="0" w:space="0" w:color="FFFFFF"/>
            </w:tcBorders>
            <w:tcMar>
              <w:top w:w="60" w:type="dxa"/>
              <w:left w:w="0" w:type="dxa"/>
              <w:bottom w:w="60" w:type="dxa"/>
              <w:right w:w="80" w:type="dxa"/>
            </w:tcMar>
          </w:tcPr>
          <w:p w14:paraId="1D871A05" w14:textId="77777777" w:rsidR="007E55E4" w:rsidRDefault="00161F10">
            <w:r>
              <w:rPr>
                <w:rFonts w:ascii="Arial" w:eastAsia="Arial" w:hAnsi="Arial" w:cs="Arial"/>
                <w:color w:val="111111"/>
                <w:sz w:val="22"/>
                <w:szCs w:val="22"/>
              </w:rPr>
              <w:t>Medical equipment &amp; supplies (4 containers)</w:t>
            </w:r>
          </w:p>
        </w:tc>
        <w:tc>
          <w:tcPr>
            <w:tcW w:w="3000" w:type="dxa"/>
            <w:tcBorders>
              <w:top w:val="none" w:sz="0" w:space="0" w:color="FFFFFF"/>
              <w:left w:val="none" w:sz="0" w:space="0" w:color="FFFFFF"/>
              <w:bottom w:val="single" w:sz="4" w:space="0" w:color="CCCCCC"/>
              <w:right w:val="none" w:sz="0" w:space="0" w:color="FFFFFF"/>
            </w:tcBorders>
            <w:tcMar>
              <w:top w:w="60" w:type="dxa"/>
              <w:left w:w="80" w:type="dxa"/>
              <w:bottom w:w="60" w:type="dxa"/>
              <w:right w:w="0" w:type="dxa"/>
            </w:tcMar>
          </w:tcPr>
          <w:p w14:paraId="62FDF0D4" w14:textId="77777777" w:rsidR="007E55E4" w:rsidRDefault="00161F10">
            <w:pPr>
              <w:jc w:val="right"/>
            </w:pPr>
            <w:r>
              <w:rPr>
                <w:rFonts w:ascii="Arial" w:eastAsia="Arial" w:hAnsi="Arial" w:cs="Arial"/>
                <w:color w:val="111111"/>
                <w:sz w:val="22"/>
                <w:szCs w:val="22"/>
              </w:rPr>
              <w:t>$120,000</w:t>
            </w:r>
          </w:p>
        </w:tc>
      </w:tr>
      <w:tr w:rsidR="007E55E4" w14:paraId="6C7F3CC0" w14:textId="77777777">
        <w:tc>
          <w:tcPr>
            <w:tcW w:w="6000" w:type="dxa"/>
            <w:tcBorders>
              <w:top w:val="none" w:sz="0" w:space="0" w:color="FFFFFF"/>
              <w:left w:val="none" w:sz="0" w:space="0" w:color="FFFFFF"/>
              <w:bottom w:val="single" w:sz="4" w:space="0" w:color="CCCCCC"/>
              <w:right w:val="none" w:sz="0" w:space="0" w:color="FFFFFF"/>
            </w:tcBorders>
            <w:tcMar>
              <w:top w:w="60" w:type="dxa"/>
              <w:left w:w="0" w:type="dxa"/>
              <w:bottom w:w="60" w:type="dxa"/>
              <w:right w:w="80" w:type="dxa"/>
            </w:tcMar>
          </w:tcPr>
          <w:p w14:paraId="61C6A6EC" w14:textId="77777777" w:rsidR="007E55E4" w:rsidRDefault="00161F10">
            <w:r>
              <w:rPr>
                <w:rFonts w:ascii="Arial" w:eastAsia="Arial" w:hAnsi="Arial" w:cs="Arial"/>
                <w:color w:val="111111"/>
                <w:sz w:val="22"/>
                <w:szCs w:val="22"/>
              </w:rPr>
              <w:t>Medical Service Trip</w:t>
            </w:r>
          </w:p>
        </w:tc>
        <w:tc>
          <w:tcPr>
            <w:tcW w:w="3000" w:type="dxa"/>
            <w:tcBorders>
              <w:top w:val="none" w:sz="0" w:space="0" w:color="FFFFFF"/>
              <w:left w:val="none" w:sz="0" w:space="0" w:color="FFFFFF"/>
              <w:bottom w:val="single" w:sz="4" w:space="0" w:color="CCCCCC"/>
              <w:right w:val="none" w:sz="0" w:space="0" w:color="FFFFFF"/>
            </w:tcBorders>
            <w:tcMar>
              <w:top w:w="60" w:type="dxa"/>
              <w:left w:w="80" w:type="dxa"/>
              <w:bottom w:w="60" w:type="dxa"/>
              <w:right w:w="0" w:type="dxa"/>
            </w:tcMar>
          </w:tcPr>
          <w:p w14:paraId="1CFE8D4B" w14:textId="77777777" w:rsidR="007E55E4" w:rsidRDefault="00161F10">
            <w:pPr>
              <w:jc w:val="right"/>
            </w:pPr>
            <w:r>
              <w:rPr>
                <w:rFonts w:ascii="Arial" w:eastAsia="Arial" w:hAnsi="Arial" w:cs="Arial"/>
                <w:color w:val="111111"/>
                <w:sz w:val="22"/>
                <w:szCs w:val="22"/>
              </w:rPr>
              <w:t>$25,000</w:t>
            </w:r>
          </w:p>
        </w:tc>
      </w:tr>
      <w:tr w:rsidR="007E55E4" w14:paraId="227427B8" w14:textId="77777777">
        <w:tc>
          <w:tcPr>
            <w:tcW w:w="6000" w:type="dxa"/>
            <w:tcBorders>
              <w:top w:val="none" w:sz="0" w:space="0" w:color="FFFFFF"/>
              <w:left w:val="none" w:sz="0" w:space="0" w:color="FFFFFF"/>
              <w:bottom w:val="single" w:sz="4" w:space="0" w:color="CCCCCC"/>
              <w:right w:val="none" w:sz="0" w:space="0" w:color="FFFFFF"/>
            </w:tcBorders>
            <w:tcMar>
              <w:top w:w="60" w:type="dxa"/>
              <w:left w:w="0" w:type="dxa"/>
              <w:bottom w:w="60" w:type="dxa"/>
              <w:right w:w="80" w:type="dxa"/>
            </w:tcMar>
          </w:tcPr>
          <w:p w14:paraId="684A8F07" w14:textId="77777777" w:rsidR="007E55E4" w:rsidRDefault="00161F10">
            <w:r>
              <w:rPr>
                <w:rFonts w:ascii="Arial" w:eastAsia="Arial" w:hAnsi="Arial" w:cs="Arial"/>
                <w:color w:val="111111"/>
                <w:sz w:val="22"/>
                <w:szCs w:val="22"/>
              </w:rPr>
              <w:t>PWH project management &amp; overhead</w:t>
            </w:r>
          </w:p>
        </w:tc>
        <w:tc>
          <w:tcPr>
            <w:tcW w:w="3000" w:type="dxa"/>
            <w:tcBorders>
              <w:top w:val="none" w:sz="0" w:space="0" w:color="FFFFFF"/>
              <w:left w:val="none" w:sz="0" w:space="0" w:color="FFFFFF"/>
              <w:bottom w:val="single" w:sz="4" w:space="0" w:color="CCCCCC"/>
              <w:right w:val="none" w:sz="0" w:space="0" w:color="FFFFFF"/>
            </w:tcBorders>
            <w:tcMar>
              <w:top w:w="60" w:type="dxa"/>
              <w:left w:w="80" w:type="dxa"/>
              <w:bottom w:w="60" w:type="dxa"/>
              <w:right w:w="0" w:type="dxa"/>
            </w:tcMar>
          </w:tcPr>
          <w:p w14:paraId="0F5DF45C" w14:textId="77777777" w:rsidR="007E55E4" w:rsidRDefault="00161F10">
            <w:pPr>
              <w:jc w:val="right"/>
            </w:pPr>
            <w:r>
              <w:rPr>
                <w:rFonts w:ascii="Arial" w:eastAsia="Arial" w:hAnsi="Arial" w:cs="Arial"/>
                <w:color w:val="111111"/>
                <w:sz w:val="22"/>
                <w:szCs w:val="22"/>
              </w:rPr>
              <w:t>$15,000 – $25,000</w:t>
            </w:r>
          </w:p>
        </w:tc>
      </w:tr>
      <w:tr w:rsidR="007E55E4" w14:paraId="4DD8128B" w14:textId="77777777">
        <w:tc>
          <w:tcPr>
            <w:tcW w:w="6000" w:type="dxa"/>
            <w:tcBorders>
              <w:top w:val="none" w:sz="0" w:space="0" w:color="FFFFFF"/>
              <w:left w:val="none" w:sz="0" w:space="0" w:color="FFFFFF"/>
              <w:bottom w:val="single" w:sz="4" w:space="0" w:color="CCCCCC"/>
              <w:right w:val="none" w:sz="0" w:space="0" w:color="FFFFFF"/>
            </w:tcBorders>
            <w:tcMar>
              <w:top w:w="60" w:type="dxa"/>
              <w:left w:w="0" w:type="dxa"/>
              <w:bottom w:w="60" w:type="dxa"/>
              <w:right w:w="80" w:type="dxa"/>
            </w:tcMar>
          </w:tcPr>
          <w:p w14:paraId="5D247D75" w14:textId="77777777" w:rsidR="007E55E4" w:rsidRDefault="00161F10">
            <w:r>
              <w:rPr>
                <w:rFonts w:ascii="Arial" w:eastAsia="Arial" w:hAnsi="Arial" w:cs="Arial"/>
                <w:color w:val="111111"/>
                <w:sz w:val="22"/>
                <w:szCs w:val="22"/>
              </w:rPr>
              <w:t>Waste management equipment &amp; training</w:t>
            </w:r>
          </w:p>
        </w:tc>
        <w:tc>
          <w:tcPr>
            <w:tcW w:w="3000" w:type="dxa"/>
            <w:tcBorders>
              <w:top w:val="none" w:sz="0" w:space="0" w:color="FFFFFF"/>
              <w:left w:val="none" w:sz="0" w:space="0" w:color="FFFFFF"/>
              <w:bottom w:val="single" w:sz="4" w:space="0" w:color="CCCCCC"/>
              <w:right w:val="none" w:sz="0" w:space="0" w:color="FFFFFF"/>
            </w:tcBorders>
            <w:tcMar>
              <w:top w:w="60" w:type="dxa"/>
              <w:left w:w="80" w:type="dxa"/>
              <w:bottom w:w="60" w:type="dxa"/>
              <w:right w:w="0" w:type="dxa"/>
            </w:tcMar>
          </w:tcPr>
          <w:p w14:paraId="5BEDD382" w14:textId="77777777" w:rsidR="007E55E4" w:rsidRDefault="00161F10">
            <w:pPr>
              <w:jc w:val="right"/>
            </w:pPr>
            <w:r>
              <w:rPr>
                <w:rFonts w:ascii="Arial" w:eastAsia="Arial" w:hAnsi="Arial" w:cs="Arial"/>
                <w:color w:val="111111"/>
                <w:sz w:val="22"/>
                <w:szCs w:val="22"/>
              </w:rPr>
              <w:t>$5,000 – $10,000</w:t>
            </w:r>
          </w:p>
        </w:tc>
      </w:tr>
      <w:tr w:rsidR="007E55E4" w14:paraId="03C36CD7" w14:textId="77777777">
        <w:tc>
          <w:tcPr>
            <w:tcW w:w="6000" w:type="dxa"/>
            <w:tcBorders>
              <w:top w:val="none" w:sz="0" w:space="0" w:color="FFFFFF"/>
              <w:left w:val="none" w:sz="0" w:space="0" w:color="FFFFFF"/>
              <w:bottom w:val="single" w:sz="4" w:space="0" w:color="CCCCCC"/>
              <w:right w:val="none" w:sz="0" w:space="0" w:color="FFFFFF"/>
            </w:tcBorders>
            <w:tcMar>
              <w:top w:w="60" w:type="dxa"/>
              <w:left w:w="0" w:type="dxa"/>
              <w:bottom w:w="60" w:type="dxa"/>
              <w:right w:w="80" w:type="dxa"/>
            </w:tcMar>
          </w:tcPr>
          <w:p w14:paraId="754C430C" w14:textId="77777777" w:rsidR="007E55E4" w:rsidRDefault="00161F10">
            <w:r>
              <w:rPr>
                <w:rFonts w:ascii="Arial" w:eastAsia="Arial" w:hAnsi="Arial" w:cs="Arial"/>
                <w:color w:val="111111"/>
                <w:sz w:val="22"/>
                <w:szCs w:val="22"/>
              </w:rPr>
              <w:t>Monitoring &amp; evaluation (≤10%)</w:t>
            </w:r>
          </w:p>
        </w:tc>
        <w:tc>
          <w:tcPr>
            <w:tcW w:w="3000" w:type="dxa"/>
            <w:tcBorders>
              <w:top w:val="none" w:sz="0" w:space="0" w:color="FFFFFF"/>
              <w:left w:val="none" w:sz="0" w:space="0" w:color="FFFFFF"/>
              <w:bottom w:val="single" w:sz="4" w:space="0" w:color="CCCCCC"/>
              <w:right w:val="none" w:sz="0" w:space="0" w:color="FFFFFF"/>
            </w:tcBorders>
            <w:tcMar>
              <w:top w:w="60" w:type="dxa"/>
              <w:left w:w="80" w:type="dxa"/>
              <w:bottom w:w="60" w:type="dxa"/>
              <w:right w:w="0" w:type="dxa"/>
            </w:tcMar>
          </w:tcPr>
          <w:p w14:paraId="09B51A6D" w14:textId="77777777" w:rsidR="007E55E4" w:rsidRDefault="00161F10">
            <w:pPr>
              <w:jc w:val="right"/>
            </w:pPr>
            <w:r>
              <w:rPr>
                <w:rFonts w:ascii="Arial" w:eastAsia="Arial" w:hAnsi="Arial" w:cs="Arial"/>
                <w:color w:val="111111"/>
                <w:sz w:val="22"/>
                <w:szCs w:val="22"/>
              </w:rPr>
              <w:t>$7,500</w:t>
            </w:r>
          </w:p>
        </w:tc>
      </w:tr>
      <w:tr w:rsidR="007E55E4" w14:paraId="032AF486" w14:textId="77777777">
        <w:tc>
          <w:tcPr>
            <w:tcW w:w="6000" w:type="dxa"/>
            <w:tcBorders>
              <w:top w:val="single" w:sz="12" w:space="0" w:color="000000"/>
              <w:left w:val="none" w:sz="0" w:space="0" w:color="FFFFFF"/>
              <w:bottom w:val="single" w:sz="4" w:space="0" w:color="CCCCCC"/>
              <w:right w:val="none" w:sz="0" w:space="0" w:color="FFFFFF"/>
            </w:tcBorders>
            <w:tcMar>
              <w:top w:w="60" w:type="dxa"/>
              <w:left w:w="0" w:type="dxa"/>
              <w:bottom w:w="60" w:type="dxa"/>
              <w:right w:w="80" w:type="dxa"/>
            </w:tcMar>
          </w:tcPr>
          <w:p w14:paraId="7B333225" w14:textId="77777777" w:rsidR="007E55E4" w:rsidRDefault="00161F10">
            <w:r>
              <w:rPr>
                <w:rFonts w:ascii="Arial" w:eastAsia="Arial" w:hAnsi="Arial" w:cs="Arial"/>
                <w:b/>
                <w:bCs/>
                <w:color w:val="000000"/>
                <w:sz w:val="22"/>
                <w:szCs w:val="22"/>
              </w:rPr>
              <w:t>Total Estimated Budget</w:t>
            </w:r>
          </w:p>
        </w:tc>
        <w:tc>
          <w:tcPr>
            <w:tcW w:w="3000" w:type="dxa"/>
            <w:tcBorders>
              <w:top w:val="single" w:sz="12" w:space="0" w:color="000000"/>
              <w:left w:val="none" w:sz="0" w:space="0" w:color="FFFFFF"/>
              <w:bottom w:val="single" w:sz="4" w:space="0" w:color="CCCCCC"/>
              <w:right w:val="none" w:sz="0" w:space="0" w:color="FFFFFF"/>
            </w:tcBorders>
            <w:tcMar>
              <w:top w:w="60" w:type="dxa"/>
              <w:left w:w="80" w:type="dxa"/>
              <w:bottom w:w="60" w:type="dxa"/>
              <w:right w:w="0" w:type="dxa"/>
            </w:tcMar>
          </w:tcPr>
          <w:p w14:paraId="76179E90" w14:textId="77777777" w:rsidR="007E55E4" w:rsidRDefault="00161F10">
            <w:pPr>
              <w:jc w:val="right"/>
            </w:pPr>
            <w:r>
              <w:rPr>
                <w:rFonts w:ascii="Arial" w:eastAsia="Arial" w:hAnsi="Arial" w:cs="Arial"/>
                <w:b/>
                <w:bCs/>
                <w:color w:val="000000"/>
                <w:sz w:val="22"/>
                <w:szCs w:val="22"/>
              </w:rPr>
              <w:t>$172,500 – $187,500</w:t>
            </w:r>
          </w:p>
        </w:tc>
      </w:tr>
    </w:tbl>
    <w:p w14:paraId="21F3760C" w14:textId="77777777" w:rsidR="007E55E4" w:rsidRDefault="007E55E4">
      <w:pPr>
        <w:spacing w:after="240"/>
      </w:pPr>
    </w:p>
    <w:p w14:paraId="14047B23" w14:textId="2CF63837" w:rsidR="007E55E4" w:rsidRDefault="00161F10">
      <w:pPr>
        <w:pBdr>
          <w:top w:val="single" w:sz="4" w:space="0" w:color="999999"/>
        </w:pBdr>
        <w:spacing w:before="120"/>
      </w:pPr>
      <w:r>
        <w:rPr>
          <w:rFonts w:ascii="Arial" w:eastAsia="Arial" w:hAnsi="Arial" w:cs="Arial"/>
          <w:i/>
          <w:iCs/>
          <w:color w:val="666666"/>
          <w:sz w:val="17"/>
          <w:szCs w:val="17"/>
        </w:rPr>
        <w:t xml:space="preserve">Funding: Rotary District Designated Funds · Club contributions · Rotary Foundation World Fund match · Minimum 15% from outside Uganda     </w:t>
      </w:r>
      <w:r>
        <w:rPr>
          <w:rFonts w:ascii="Arial" w:eastAsia="Arial" w:hAnsi="Arial" w:cs="Arial"/>
          <w:b/>
          <w:bCs/>
          <w:color w:val="444444"/>
          <w:sz w:val="17"/>
          <w:szCs w:val="17"/>
        </w:rPr>
        <w:t xml:space="preserve">Partners for World Health · Portland, </w:t>
      </w:r>
      <w:r w:rsidR="00BD4D6F">
        <w:rPr>
          <w:rFonts w:ascii="Arial" w:eastAsia="Arial" w:hAnsi="Arial" w:cs="Arial"/>
          <w:b/>
          <w:bCs/>
          <w:color w:val="444444"/>
          <w:sz w:val="17"/>
          <w:szCs w:val="17"/>
        </w:rPr>
        <w:t xml:space="preserve">Maine </w:t>
      </w:r>
      <w:r w:rsidR="00A04E7F">
        <w:rPr>
          <w:rFonts w:ascii="Arial" w:eastAsia="Arial" w:hAnsi="Arial" w:cs="Arial"/>
          <w:b/>
          <w:bCs/>
          <w:color w:val="444444"/>
          <w:sz w:val="17"/>
          <w:szCs w:val="17"/>
        </w:rPr>
        <w:t>| Rotary</w:t>
      </w:r>
      <w:r>
        <w:rPr>
          <w:rFonts w:ascii="Arial" w:eastAsia="Arial" w:hAnsi="Arial" w:cs="Arial"/>
          <w:b/>
          <w:bCs/>
          <w:color w:val="444444"/>
          <w:sz w:val="17"/>
          <w:szCs w:val="17"/>
        </w:rPr>
        <w:t xml:space="preserve"> Global Grant Proposal</w:t>
      </w:r>
    </w:p>
    <w:sectPr w:rsidR="007E55E4">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40576"/>
    <w:multiLevelType w:val="hybridMultilevel"/>
    <w:tmpl w:val="5D88B354"/>
    <w:lvl w:ilvl="0" w:tplc="1DD833F2">
      <w:start w:val="1"/>
      <w:numFmt w:val="bullet"/>
      <w:lvlText w:val="–"/>
      <w:lvlJc w:val="left"/>
      <w:pPr>
        <w:ind w:left="360" w:hanging="240"/>
      </w:pPr>
      <w:rPr>
        <w:rFonts w:ascii="Arial" w:eastAsia="Arial" w:hAnsi="Arial" w:cs="Arial"/>
        <w:sz w:val="22"/>
        <w:szCs w:val="22"/>
      </w:rPr>
    </w:lvl>
    <w:lvl w:ilvl="1" w:tplc="5B622ABE">
      <w:numFmt w:val="decimal"/>
      <w:lvlText w:val=""/>
      <w:lvlJc w:val="left"/>
    </w:lvl>
    <w:lvl w:ilvl="2" w:tplc="08DC3BF2">
      <w:numFmt w:val="decimal"/>
      <w:lvlText w:val=""/>
      <w:lvlJc w:val="left"/>
    </w:lvl>
    <w:lvl w:ilvl="3" w:tplc="0A76C0D2">
      <w:numFmt w:val="decimal"/>
      <w:lvlText w:val=""/>
      <w:lvlJc w:val="left"/>
    </w:lvl>
    <w:lvl w:ilvl="4" w:tplc="D41235EA">
      <w:numFmt w:val="decimal"/>
      <w:lvlText w:val=""/>
      <w:lvlJc w:val="left"/>
    </w:lvl>
    <w:lvl w:ilvl="5" w:tplc="CC08EC8E">
      <w:numFmt w:val="decimal"/>
      <w:lvlText w:val=""/>
      <w:lvlJc w:val="left"/>
    </w:lvl>
    <w:lvl w:ilvl="6" w:tplc="84E23E3C">
      <w:numFmt w:val="decimal"/>
      <w:lvlText w:val=""/>
      <w:lvlJc w:val="left"/>
    </w:lvl>
    <w:lvl w:ilvl="7" w:tplc="02388E28">
      <w:numFmt w:val="decimal"/>
      <w:lvlText w:val=""/>
      <w:lvlJc w:val="left"/>
    </w:lvl>
    <w:lvl w:ilvl="8" w:tplc="22EE49D6">
      <w:numFmt w:val="decimal"/>
      <w:lvlText w:val=""/>
      <w:lvlJc w:val="left"/>
    </w:lvl>
  </w:abstractNum>
  <w:abstractNum w:abstractNumId="1" w15:restartNumberingAfterBreak="0">
    <w:nsid w:val="6FE15524"/>
    <w:multiLevelType w:val="hybridMultilevel"/>
    <w:tmpl w:val="3304819E"/>
    <w:lvl w:ilvl="0" w:tplc="01FECFBE">
      <w:start w:val="1"/>
      <w:numFmt w:val="bullet"/>
      <w:lvlText w:val="●"/>
      <w:lvlJc w:val="left"/>
      <w:pPr>
        <w:ind w:left="720" w:hanging="360"/>
      </w:pPr>
    </w:lvl>
    <w:lvl w:ilvl="1" w:tplc="230627B4">
      <w:start w:val="1"/>
      <w:numFmt w:val="bullet"/>
      <w:lvlText w:val="○"/>
      <w:lvlJc w:val="left"/>
      <w:pPr>
        <w:ind w:left="1440" w:hanging="360"/>
      </w:pPr>
    </w:lvl>
    <w:lvl w:ilvl="2" w:tplc="A0B609C0">
      <w:start w:val="1"/>
      <w:numFmt w:val="bullet"/>
      <w:lvlText w:val="■"/>
      <w:lvlJc w:val="left"/>
      <w:pPr>
        <w:ind w:left="2160" w:hanging="360"/>
      </w:pPr>
    </w:lvl>
    <w:lvl w:ilvl="3" w:tplc="8FB69FE4">
      <w:start w:val="1"/>
      <w:numFmt w:val="bullet"/>
      <w:lvlText w:val="●"/>
      <w:lvlJc w:val="left"/>
      <w:pPr>
        <w:ind w:left="2880" w:hanging="360"/>
      </w:pPr>
    </w:lvl>
    <w:lvl w:ilvl="4" w:tplc="7FB2339E">
      <w:start w:val="1"/>
      <w:numFmt w:val="bullet"/>
      <w:lvlText w:val="○"/>
      <w:lvlJc w:val="left"/>
      <w:pPr>
        <w:ind w:left="3600" w:hanging="360"/>
      </w:pPr>
    </w:lvl>
    <w:lvl w:ilvl="5" w:tplc="9D8A54A8">
      <w:start w:val="1"/>
      <w:numFmt w:val="bullet"/>
      <w:lvlText w:val="■"/>
      <w:lvlJc w:val="left"/>
      <w:pPr>
        <w:ind w:left="4320" w:hanging="360"/>
      </w:pPr>
    </w:lvl>
    <w:lvl w:ilvl="6" w:tplc="1F6E4B02">
      <w:start w:val="1"/>
      <w:numFmt w:val="bullet"/>
      <w:lvlText w:val="●"/>
      <w:lvlJc w:val="left"/>
      <w:pPr>
        <w:ind w:left="5040" w:hanging="360"/>
      </w:pPr>
    </w:lvl>
    <w:lvl w:ilvl="7" w:tplc="2430C662">
      <w:start w:val="1"/>
      <w:numFmt w:val="bullet"/>
      <w:lvlText w:val="●"/>
      <w:lvlJc w:val="left"/>
      <w:pPr>
        <w:ind w:left="5760" w:hanging="360"/>
      </w:pPr>
    </w:lvl>
    <w:lvl w:ilvl="8" w:tplc="488CA1C6">
      <w:start w:val="1"/>
      <w:numFmt w:val="bullet"/>
      <w:lvlText w:val="●"/>
      <w:lvlJc w:val="left"/>
      <w:pPr>
        <w:ind w:left="6480" w:hanging="360"/>
      </w:pPr>
    </w:lvl>
  </w:abstractNum>
  <w:num w:numId="1" w16cid:durableId="128405367">
    <w:abstractNumId w:val="1"/>
    <w:lvlOverride w:ilvl="0">
      <w:startOverride w:val="1"/>
    </w:lvlOverride>
  </w:num>
  <w:num w:numId="2" w16cid:durableId="21096224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E4"/>
    <w:rsid w:val="00161F10"/>
    <w:rsid w:val="001C4451"/>
    <w:rsid w:val="00420F7D"/>
    <w:rsid w:val="004B310B"/>
    <w:rsid w:val="006B49ED"/>
    <w:rsid w:val="007305B4"/>
    <w:rsid w:val="007E55E4"/>
    <w:rsid w:val="00A04E7F"/>
    <w:rsid w:val="00BD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23F0"/>
  <w15:docId w15:val="{295842FE-99E6-4905-BB56-B3C98DE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McGovern</cp:lastModifiedBy>
  <cp:revision>2</cp:revision>
  <dcterms:created xsi:type="dcterms:W3CDTF">2026-04-14T21:25:00Z</dcterms:created>
  <dcterms:modified xsi:type="dcterms:W3CDTF">2026-04-14T21:25:00Z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c4d42464-8ee5-4aca-9d35-768833431aa5</vt:lpwstr>
  </property>
</Properties>
</file>