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Board of Trustees</w:t>
      </w: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Meeting Minutes</w:t>
      </w: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July 19, 2021</w:t>
      </w:r>
    </w:p>
    <w:p>
      <w:pPr>
        <w:pStyle w:val="Body"/>
        <w:jc w:val="center"/>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 meeting of the Board of Trustees of the Overland Park Rotary Club Foundation was held at the Matt Ross Community Center, Overland Park, Kansas, on the 19th day of July, 2021.</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w:t>
        <w:tab/>
        <w:t>Call to Order</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President Tim Steele called the meeting to order at 1:08 p.m. with the following board members in attendance:</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Trent Dansel</w:t>
        <w:tab/>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Jeff Ellis</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Laurie McCormack</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Mike Meyer </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Tim Steele</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Tam Singer</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John Yorke</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Board members absent:</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Jameia Haines</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Erik Rome</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II.</w:t>
        <w:tab/>
        <w:t>Minutes</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1"/>
          <w:bCs w:val="1"/>
          <w:sz w:val="24"/>
          <w:szCs w:val="24"/>
        </w:rPr>
        <w:tab/>
      </w:r>
      <w:r>
        <w:rPr>
          <w:rFonts w:ascii="Times New Roman" w:hAnsi="Times New Roman"/>
          <w:b w:val="0"/>
          <w:bCs w:val="0"/>
          <w:sz w:val="24"/>
          <w:szCs w:val="24"/>
          <w:rtl w:val="0"/>
          <w:lang w:val="en-US"/>
        </w:rPr>
        <w:t>John Yorke moved that the April 26, 2021, minutes of the Board of Trustees meeting and the June 28, 2021, minutes of the Annual Meeting  be approved.  Mike Meyer seconded the motion and the motion passed.</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III. </w:t>
        <w:tab/>
        <w:t>Financial Report/Update</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Trent Dansel noted that the equity portion of Foundation funds in the investment was increasing due to the rise of the stock market and suggested that we sell stocks and purchase money market funds or bonds to rebalance the account in line with our 60% equity/40% fixed goal. Mike Meyer and Jeff Ellis expressed a view that we should consider a more conservative asset allocation to lock in some of our profit. John Yorke suggested that we consult with our investment advisor, Richard Webdell, as to his view and invite him to our next meeting.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IV.</w:t>
        <w:tab/>
        <w:t>Business</w:t>
      </w:r>
    </w:p>
    <w:p>
      <w:pPr>
        <w:pStyle w:val="Body"/>
        <w:jc w:val="left"/>
        <w:rPr>
          <w:rFonts w:ascii="Times New Roman" w:cs="Times New Roman" w:hAnsi="Times New Roman" w:eastAsia="Times New Roman"/>
          <w:b w:val="1"/>
          <w:bCs w:val="1"/>
          <w:sz w:val="24"/>
          <w:szCs w:val="24"/>
        </w:rPr>
      </w:pPr>
    </w:p>
    <w:p>
      <w:pPr>
        <w:pStyle w:val="Body"/>
        <w:ind w:left="785"/>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  Election of Officers</w:t>
      </w:r>
    </w:p>
    <w:p>
      <w:pPr>
        <w:pStyle w:val="Body"/>
        <w:ind w:left="785"/>
        <w:jc w:val="left"/>
        <w:rPr>
          <w:rFonts w:ascii="Times New Roman" w:cs="Times New Roman" w:hAnsi="Times New Roman" w:eastAsia="Times New Roman"/>
          <w:b w:val="1"/>
          <w:bCs w:val="1"/>
          <w:sz w:val="24"/>
          <w:szCs w:val="24"/>
        </w:rPr>
      </w:pPr>
    </w:p>
    <w:p>
      <w:pPr>
        <w:pStyle w:val="Body"/>
        <w:ind w:left="785"/>
        <w:jc w:val="left"/>
        <w:rPr>
          <w:rFonts w:ascii="Times New Roman" w:cs="Times New Roman" w:hAnsi="Times New Roman" w:eastAsia="Times New Roman"/>
          <w:sz w:val="24"/>
          <w:szCs w:val="24"/>
        </w:rPr>
      </w:pPr>
      <w:r>
        <w:rPr>
          <w:rFonts w:ascii="Times New Roman" w:hAnsi="Times New Roman"/>
          <w:sz w:val="24"/>
          <w:szCs w:val="24"/>
          <w:rtl w:val="0"/>
          <w:lang w:val="en-US"/>
        </w:rPr>
        <w:t>Tim Steele presented a proposed slate of officers for the 2021/22 Fiscal year:</w:t>
      </w: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President </w:t>
      </w:r>
      <w:r>
        <w:rPr>
          <w:rFonts w:ascii="Times New Roman" w:hAnsi="Times New Roman" w:hint="default"/>
          <w:sz w:val="24"/>
          <w:szCs w:val="24"/>
          <w:rtl w:val="0"/>
          <w:lang w:val="en-US"/>
        </w:rPr>
        <w:t xml:space="preserve">— </w:t>
        <w:tab/>
        <w:tab/>
      </w:r>
      <w:r>
        <w:rPr>
          <w:rFonts w:ascii="Times New Roman" w:hAnsi="Times New Roman"/>
          <w:sz w:val="24"/>
          <w:szCs w:val="24"/>
          <w:rtl w:val="0"/>
          <w:lang w:val="en-US"/>
        </w:rPr>
        <w:t>Erik Rome</w:t>
      </w: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Vice President </w:t>
      </w:r>
      <w:r>
        <w:rPr>
          <w:rFonts w:ascii="Times New Roman" w:hAnsi="Times New Roman" w:hint="default"/>
          <w:sz w:val="24"/>
          <w:szCs w:val="24"/>
          <w:rtl w:val="0"/>
          <w:lang w:val="en-US"/>
        </w:rPr>
        <w:t>—</w:t>
        <w:tab/>
      </w:r>
      <w:r>
        <w:rPr>
          <w:rFonts w:ascii="Times New Roman" w:hAnsi="Times New Roman"/>
          <w:sz w:val="24"/>
          <w:szCs w:val="24"/>
          <w:rtl w:val="0"/>
          <w:lang w:val="en-US"/>
        </w:rPr>
        <w:t>Tim Steele</w:t>
      </w: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Treasurer </w:t>
      </w:r>
      <w:r>
        <w:rPr>
          <w:rFonts w:ascii="Times New Roman" w:hAnsi="Times New Roman" w:hint="default"/>
          <w:sz w:val="24"/>
          <w:szCs w:val="24"/>
          <w:rtl w:val="0"/>
          <w:lang w:val="en-US"/>
        </w:rPr>
        <w:t>—</w:t>
        <w:tab/>
        <w:tab/>
      </w:r>
      <w:r>
        <w:rPr>
          <w:rFonts w:ascii="Times New Roman" w:hAnsi="Times New Roman"/>
          <w:sz w:val="24"/>
          <w:szCs w:val="24"/>
          <w:rtl w:val="0"/>
          <w:lang w:val="en-US"/>
        </w:rPr>
        <w:t>Trent Dansel</w:t>
      </w: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Secretary </w:t>
      </w:r>
      <w:r>
        <w:rPr>
          <w:rFonts w:ascii="Times New Roman" w:hAnsi="Times New Roman" w:hint="default"/>
          <w:sz w:val="24"/>
          <w:szCs w:val="24"/>
          <w:rtl w:val="0"/>
          <w:lang w:val="en-US"/>
        </w:rPr>
        <w:t xml:space="preserve">— </w:t>
        <w:tab/>
        <w:tab/>
      </w:r>
      <w:r>
        <w:rPr>
          <w:rFonts w:ascii="Times New Roman" w:hAnsi="Times New Roman"/>
          <w:sz w:val="24"/>
          <w:szCs w:val="24"/>
          <w:rtl w:val="0"/>
          <w:lang w:val="en-US"/>
        </w:rPr>
        <w:t>John Yorke</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sz w:val="24"/>
          <w:szCs w:val="24"/>
        </w:rPr>
      </w:pPr>
      <w:r>
        <w:rPr>
          <w:rFonts w:ascii="Times New Roman" w:hAnsi="Times New Roman"/>
          <w:sz w:val="24"/>
          <w:szCs w:val="24"/>
          <w:rtl w:val="0"/>
          <w:lang w:val="en-US"/>
        </w:rPr>
        <w:t>Jeff Ellis moved to approved the proposed slate of officers; Tam Singer seconded the motion; and the motion passed.</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2.</w:t>
        <w:tab/>
        <w:t>21/22 Fiscal Year Budget Review</w:t>
      </w:r>
    </w:p>
    <w:p>
      <w:pPr>
        <w:pStyle w:val="Body"/>
        <w:ind w:left="785"/>
        <w:jc w:val="left"/>
        <w:rPr>
          <w:rFonts w:ascii="Times New Roman" w:cs="Times New Roman" w:hAnsi="Times New Roman" w:eastAsia="Times New Roman"/>
          <w:b w:val="1"/>
          <w:bCs w:val="1"/>
          <w:sz w:val="24"/>
          <w:szCs w:val="24"/>
        </w:rPr>
      </w:pP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Tim Steele  noted that last year the Foundation</w:t>
      </w:r>
      <w:r>
        <w:rPr>
          <w:rFonts w:ascii="Times New Roman" w:hAnsi="Times New Roman" w:hint="default"/>
          <w:sz w:val="24"/>
          <w:szCs w:val="24"/>
          <w:rtl w:val="0"/>
          <w:lang w:val="en-US"/>
        </w:rPr>
        <w:t>’</w:t>
      </w:r>
      <w:r>
        <w:rPr>
          <w:rFonts w:ascii="Times New Roman" w:hAnsi="Times New Roman"/>
          <w:sz w:val="24"/>
          <w:szCs w:val="24"/>
          <w:rtl w:val="0"/>
          <w:lang w:val="en-US"/>
        </w:rPr>
        <w:t>s budget was $61,000 and that as of July 6, 2021 Foundation assets was $580,000. He and Trent Dansel, Erik Rome and he would be developing an estimated  budget for the board</w:t>
      </w:r>
      <w:r>
        <w:rPr>
          <w:rFonts w:ascii="Times New Roman" w:hAnsi="Times New Roman" w:hint="default"/>
          <w:sz w:val="24"/>
          <w:szCs w:val="24"/>
          <w:rtl w:val="0"/>
          <w:lang w:val="en-US"/>
        </w:rPr>
        <w:t>’</w:t>
      </w:r>
      <w:r>
        <w:rPr>
          <w:rFonts w:ascii="Times New Roman" w:hAnsi="Times New Roman"/>
          <w:sz w:val="24"/>
          <w:szCs w:val="24"/>
          <w:rtl w:val="0"/>
          <w:lang w:val="en-US"/>
        </w:rPr>
        <w:t>s review.</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3.</w:t>
        <w:tab/>
        <w:t>Approval of Letterhead/Donation Letter</w:t>
      </w:r>
    </w:p>
    <w:p>
      <w:pPr>
        <w:pStyle w:val="Body"/>
        <w:ind w:left="785"/>
        <w:jc w:val="left"/>
        <w:rPr>
          <w:rFonts w:ascii="Times New Roman" w:cs="Times New Roman" w:hAnsi="Times New Roman" w:eastAsia="Times New Roman"/>
          <w:b w:val="1"/>
          <w:bCs w:val="1"/>
          <w:sz w:val="24"/>
          <w:szCs w:val="24"/>
        </w:rPr>
      </w:pP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Tim Steele will review the Foundation</w:t>
      </w:r>
      <w:r>
        <w:rPr>
          <w:rFonts w:ascii="Times New Roman" w:hAnsi="Times New Roman" w:hint="default"/>
          <w:sz w:val="24"/>
          <w:szCs w:val="24"/>
          <w:rtl w:val="0"/>
          <w:lang w:val="en-US"/>
        </w:rPr>
        <w:t>’</w:t>
      </w:r>
      <w:r>
        <w:rPr>
          <w:rFonts w:ascii="Times New Roman" w:hAnsi="Times New Roman"/>
          <w:sz w:val="24"/>
          <w:szCs w:val="24"/>
          <w:rtl w:val="0"/>
          <w:lang w:val="en-US"/>
        </w:rPr>
        <w:t>s donation appreciation letter that Pam Bowman has previously send to donors. This letter will now be sent by Mandy Shelton.</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4.</w:t>
        <w:tab/>
        <w:t>Switching from Pam Bowman to Mandy Shelton</w:t>
      </w:r>
    </w:p>
    <w:p>
      <w:pPr>
        <w:pStyle w:val="Body"/>
        <w:ind w:left="785"/>
        <w:jc w:val="left"/>
        <w:rPr>
          <w:rFonts w:ascii="Times New Roman" w:cs="Times New Roman" w:hAnsi="Times New Roman" w:eastAsia="Times New Roman"/>
          <w:b w:val="1"/>
          <w:bCs w:val="1"/>
          <w:sz w:val="24"/>
          <w:szCs w:val="24"/>
        </w:rPr>
      </w:pP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Tim Steele noted that switching administrative services from Pam Bowman to Mandy Shelton requires a review of the services provided to ensure that this transition goes smoothly. Some of these process include: Who gets mail? Switch documents in Gmail (who has access); Bank signature cards; checks and deposits; financial reports; donor appreciation letters. Tim Steele will email Board members for questions to ask Pam and Mandy.  </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5.</w:t>
        <w:tab/>
        <w:t>Good Works Update</w:t>
      </w:r>
    </w:p>
    <w:p>
      <w:pPr>
        <w:pStyle w:val="Body"/>
        <w:ind w:left="785"/>
        <w:jc w:val="left"/>
        <w:rPr>
          <w:rFonts w:ascii="Times New Roman" w:cs="Times New Roman" w:hAnsi="Times New Roman" w:eastAsia="Times New Roman"/>
          <w:b w:val="1"/>
          <w:bCs w:val="1"/>
          <w:sz w:val="24"/>
          <w:szCs w:val="24"/>
        </w:rPr>
      </w:pPr>
    </w:p>
    <w:p>
      <w:pPr>
        <w:pStyle w:val="Body"/>
        <w:ind w:left="785"/>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Mike Meyers said that $459K of books have arrived and that Mary Eisenhower will be contacted so we can split the books up. Mike also explained the </w:t>
      </w:r>
      <w:r>
        <w:rPr>
          <w:rFonts w:ascii="Times New Roman" w:hAnsi="Times New Roman" w:hint="default"/>
          <w:sz w:val="24"/>
          <w:szCs w:val="24"/>
          <w:rtl w:val="0"/>
          <w:lang w:val="en-US"/>
        </w:rPr>
        <w:t>“</w:t>
      </w:r>
      <w:r>
        <w:rPr>
          <w:rFonts w:ascii="Times New Roman" w:hAnsi="Times New Roman"/>
          <w:sz w:val="24"/>
          <w:szCs w:val="24"/>
          <w:rtl w:val="0"/>
          <w:lang w:val="en-US"/>
        </w:rPr>
        <w:t>Feed the Children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process.  </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6.</w:t>
        <w:tab/>
        <w:t>Upcoming Meetings</w:t>
      </w:r>
    </w:p>
    <w:p>
      <w:pPr>
        <w:pStyle w:val="Body"/>
        <w:ind w:left="785"/>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The next meeting will be on September 20, 2021 at 1:00 p.m. </w:t>
      </w:r>
    </w:p>
    <w:p>
      <w:pPr>
        <w:pStyle w:val="Body"/>
        <w:ind w:left="785"/>
        <w:jc w:val="left"/>
        <w:rPr>
          <w:rFonts w:ascii="Times New Roman" w:cs="Times New Roman" w:hAnsi="Times New Roman" w:eastAsia="Times New Roman"/>
          <w:sz w:val="24"/>
          <w:szCs w:val="24"/>
        </w:rPr>
      </w:pPr>
      <w:r>
        <w:rPr>
          <w:rFonts w:ascii="Times New Roman" w:hAnsi="Times New Roman"/>
          <w:sz w:val="24"/>
          <w:szCs w:val="24"/>
          <w:rtl w:val="0"/>
          <w:lang w:val="en-US"/>
        </w:rPr>
        <w:t>There being no further business, the meeting was adjourned at 2:20 p.m.</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sz w:val="24"/>
          <w:szCs w:val="24"/>
        </w:rPr>
      </w:pPr>
      <w:r>
        <w:rPr>
          <w:rFonts w:ascii="Times New Roman" w:hAnsi="Times New Roman"/>
          <w:sz w:val="24"/>
          <w:szCs w:val="24"/>
          <w:rtl w:val="0"/>
          <w:lang w:val="en-US"/>
        </w:rPr>
        <w:t>Respectfully Submitted,</w:t>
      </w:r>
    </w:p>
    <w:p>
      <w:pPr>
        <w:pStyle w:val="Body"/>
        <w:ind w:left="785"/>
        <w:jc w:val="left"/>
        <w:rPr>
          <w:rFonts w:ascii="Times New Roman" w:cs="Times New Roman" w:hAnsi="Times New Roman" w:eastAsia="Times New Roman"/>
          <w:sz w:val="24"/>
          <w:szCs w:val="24"/>
        </w:rPr>
      </w:pPr>
    </w:p>
    <w:p>
      <w:pPr>
        <w:pStyle w:val="Body"/>
        <w:ind w:left="785"/>
        <w:jc w:val="left"/>
        <w:rPr>
          <w:rFonts w:ascii="Times New Roman" w:cs="Times New Roman" w:hAnsi="Times New Roman" w:eastAsia="Times New Roman"/>
          <w:sz w:val="24"/>
          <w:szCs w:val="24"/>
        </w:rPr>
      </w:pPr>
      <w:r>
        <w:rPr>
          <w:rFonts w:ascii="Times New Roman" w:hAnsi="Times New Roman"/>
          <w:sz w:val="24"/>
          <w:szCs w:val="24"/>
          <w:rtl w:val="0"/>
          <w:lang w:val="en-US"/>
        </w:rPr>
        <w:t>John Yorke</w:t>
      </w:r>
    </w:p>
    <w:p>
      <w:pPr>
        <w:pStyle w:val="Body"/>
        <w:ind w:left="785"/>
        <w:jc w:val="left"/>
      </w:pPr>
      <w:r>
        <w:rPr>
          <w:rFonts w:ascii="Times New Roman" w:hAnsi="Times New Roman"/>
          <w:sz w:val="24"/>
          <w:szCs w:val="24"/>
          <w:rtl w:val="0"/>
          <w:lang w:val="en-US"/>
        </w:rPr>
        <w:t>Secretary</w:t>
      </w: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