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A34" w:rsidRPr="00B93A34" w:rsidRDefault="00972253" w:rsidP="00736961">
      <w:pPr>
        <w:pStyle w:val="NormalWeb"/>
        <w:jc w:val="center"/>
        <w:rPr>
          <w:rFonts w:ascii="Arial" w:hAnsi="Arial" w:cs="Arial"/>
          <w:b/>
          <w:caps/>
        </w:rPr>
      </w:pPr>
      <w:r w:rsidRPr="00B93A34">
        <w:rPr>
          <w:rFonts w:ascii="Arial" w:hAnsi="Arial" w:cs="Arial"/>
          <w:b/>
          <w:caps/>
        </w:rPr>
        <w:t>Statement of Investment Policy for the</w:t>
      </w:r>
    </w:p>
    <w:p w:rsidR="00972253" w:rsidRPr="00B93A34" w:rsidRDefault="00972253" w:rsidP="00736961">
      <w:pPr>
        <w:pStyle w:val="NormalWeb"/>
        <w:jc w:val="center"/>
        <w:rPr>
          <w:rFonts w:ascii="Arial" w:hAnsi="Arial" w:cs="Arial"/>
          <w:b/>
          <w:caps/>
        </w:rPr>
      </w:pPr>
      <w:r w:rsidRPr="00B93A34">
        <w:rPr>
          <w:rFonts w:ascii="Arial" w:hAnsi="Arial" w:cs="Arial"/>
          <w:b/>
          <w:caps/>
        </w:rPr>
        <w:t xml:space="preserve">Suburban Rotary </w:t>
      </w:r>
      <w:r w:rsidR="00AE1DDA">
        <w:rPr>
          <w:rFonts w:ascii="Arial" w:hAnsi="Arial" w:cs="Arial"/>
          <w:b/>
          <w:caps/>
        </w:rPr>
        <w:t xml:space="preserve">CLUB </w:t>
      </w:r>
      <w:r w:rsidRPr="00B93A34">
        <w:rPr>
          <w:rFonts w:ascii="Arial" w:hAnsi="Arial" w:cs="Arial"/>
          <w:b/>
          <w:caps/>
        </w:rPr>
        <w:t>Charitable Foundation</w:t>
      </w:r>
    </w:p>
    <w:p w:rsidR="002C2685" w:rsidRDefault="00AB4877" w:rsidP="00D335DA">
      <w:pPr>
        <w:pStyle w:val="NormalWeb"/>
        <w:jc w:val="center"/>
        <w:rPr>
          <w:rFonts w:ascii="Arial" w:hAnsi="Arial" w:cs="Arial"/>
        </w:rPr>
      </w:pPr>
      <w:r>
        <w:rPr>
          <w:rFonts w:ascii="Arial" w:hAnsi="Arial" w:cs="Arial"/>
        </w:rPr>
        <w:t>Revised</w:t>
      </w:r>
      <w:bookmarkStart w:id="0" w:name="_GoBack"/>
      <w:bookmarkEnd w:id="0"/>
      <w:r w:rsidR="002B07DA">
        <w:rPr>
          <w:rFonts w:ascii="Arial" w:hAnsi="Arial" w:cs="Arial"/>
        </w:rPr>
        <w:t xml:space="preserve"> </w:t>
      </w:r>
      <w:r w:rsidR="009E3511">
        <w:rPr>
          <w:rFonts w:ascii="Arial" w:hAnsi="Arial" w:cs="Arial"/>
        </w:rPr>
        <w:t>August 15, 2017</w:t>
      </w:r>
    </w:p>
    <w:p w:rsidR="00D335DA" w:rsidRDefault="00D335DA" w:rsidP="00D335DA">
      <w:pPr>
        <w:pStyle w:val="NormalWeb"/>
        <w:jc w:val="center"/>
        <w:rPr>
          <w:rFonts w:ascii="Arial" w:hAnsi="Arial" w:cs="Arial"/>
        </w:rPr>
      </w:pPr>
    </w:p>
    <w:p w:rsidR="00972253" w:rsidRPr="00736961" w:rsidRDefault="00972253" w:rsidP="00736961">
      <w:pPr>
        <w:pStyle w:val="NormalWeb"/>
        <w:rPr>
          <w:rFonts w:ascii="Arial" w:hAnsi="Arial" w:cs="Arial"/>
          <w:b/>
        </w:rPr>
      </w:pPr>
      <w:r w:rsidRPr="00736961">
        <w:rPr>
          <w:rFonts w:ascii="Arial" w:hAnsi="Arial" w:cs="Arial"/>
          <w:b/>
        </w:rPr>
        <w:t>A. PURPOSE OF THIS INVESTMENT POLICY STATEMENT</w:t>
      </w:r>
    </w:p>
    <w:p w:rsidR="00972253" w:rsidRDefault="00972253" w:rsidP="00265AED">
      <w:pPr>
        <w:pStyle w:val="NormalWeb"/>
        <w:spacing w:before="0" w:beforeAutospacing="0" w:after="0" w:afterAutospacing="0"/>
        <w:rPr>
          <w:rFonts w:ascii="Arial" w:hAnsi="Arial" w:cs="Arial"/>
        </w:rPr>
      </w:pPr>
      <w:r w:rsidRPr="00736961">
        <w:rPr>
          <w:rFonts w:ascii="Arial" w:hAnsi="Arial" w:cs="Arial"/>
        </w:rPr>
        <w:t xml:space="preserve">This Statement of Investment Policy is set forth by the Board of </w:t>
      </w:r>
      <w:r w:rsidR="00AE1DDA">
        <w:rPr>
          <w:rFonts w:ascii="Arial" w:hAnsi="Arial" w:cs="Arial"/>
        </w:rPr>
        <w:t>Trustees</w:t>
      </w:r>
      <w:r w:rsidRPr="00736961">
        <w:rPr>
          <w:rFonts w:ascii="Arial" w:hAnsi="Arial" w:cs="Arial"/>
        </w:rPr>
        <w:t xml:space="preserve"> of the Suburban Rotary </w:t>
      </w:r>
      <w:r w:rsidR="00AE1DDA">
        <w:rPr>
          <w:rFonts w:ascii="Arial" w:hAnsi="Arial" w:cs="Arial"/>
        </w:rPr>
        <w:t xml:space="preserve">Club Charitable Foundation </w:t>
      </w:r>
      <w:r w:rsidR="008A5015" w:rsidRPr="00736961">
        <w:rPr>
          <w:rFonts w:ascii="Arial" w:hAnsi="Arial" w:cs="Arial"/>
        </w:rPr>
        <w:t>to</w:t>
      </w:r>
      <w:r w:rsidRPr="00736961">
        <w:rPr>
          <w:rFonts w:ascii="Arial" w:hAnsi="Arial" w:cs="Arial"/>
        </w:rPr>
        <w:t>:</w:t>
      </w:r>
    </w:p>
    <w:p w:rsidR="00265AED" w:rsidRPr="00736961" w:rsidRDefault="00265AED" w:rsidP="00265AED">
      <w:pPr>
        <w:pStyle w:val="NormalWeb"/>
        <w:spacing w:before="0" w:beforeAutospacing="0" w:after="0" w:afterAutospacing="0"/>
        <w:rPr>
          <w:rFonts w:ascii="Arial" w:hAnsi="Arial" w:cs="Arial"/>
        </w:rPr>
      </w:pPr>
    </w:p>
    <w:p w:rsidR="00972253" w:rsidRPr="00736961" w:rsidRDefault="00972253" w:rsidP="00265AED">
      <w:pPr>
        <w:pStyle w:val="NormalWeb"/>
        <w:spacing w:before="0" w:beforeAutospacing="0" w:after="0" w:afterAutospacing="0"/>
        <w:rPr>
          <w:rFonts w:ascii="Arial" w:hAnsi="Arial" w:cs="Arial"/>
        </w:rPr>
      </w:pPr>
      <w:r w:rsidRPr="00736961">
        <w:rPr>
          <w:rFonts w:ascii="Arial" w:hAnsi="Arial" w:cs="Arial"/>
        </w:rPr>
        <w:t xml:space="preserve">1. Set forth the </w:t>
      </w:r>
      <w:r w:rsidR="00AE1DDA">
        <w:rPr>
          <w:rFonts w:ascii="Arial" w:hAnsi="Arial" w:cs="Arial"/>
        </w:rPr>
        <w:t>Foundation’s</w:t>
      </w:r>
      <w:r w:rsidRPr="00736961">
        <w:rPr>
          <w:rFonts w:ascii="Arial" w:hAnsi="Arial" w:cs="Arial"/>
        </w:rPr>
        <w:t xml:space="preserve"> investment objective.</w:t>
      </w:r>
    </w:p>
    <w:p w:rsidR="00972253" w:rsidRPr="00736961" w:rsidRDefault="00972253" w:rsidP="00265AED">
      <w:pPr>
        <w:pStyle w:val="NormalWeb"/>
        <w:spacing w:before="0" w:beforeAutospacing="0" w:after="0" w:afterAutospacing="0"/>
        <w:rPr>
          <w:rFonts w:ascii="Arial" w:hAnsi="Arial" w:cs="Arial"/>
        </w:rPr>
      </w:pPr>
      <w:r w:rsidRPr="00736961">
        <w:rPr>
          <w:rFonts w:ascii="Arial" w:hAnsi="Arial" w:cs="Arial"/>
        </w:rPr>
        <w:t xml:space="preserve">2. Establish guidelines and limitations regarding the investment of the Suburban Rotary </w:t>
      </w:r>
      <w:r w:rsidR="00AE1DDA">
        <w:rPr>
          <w:rFonts w:ascii="Arial" w:hAnsi="Arial" w:cs="Arial"/>
        </w:rPr>
        <w:t xml:space="preserve">Club Charitable Foundation </w:t>
      </w:r>
      <w:r w:rsidRPr="00736961">
        <w:rPr>
          <w:rFonts w:ascii="Arial" w:hAnsi="Arial" w:cs="Arial"/>
        </w:rPr>
        <w:t>assets.</w:t>
      </w:r>
    </w:p>
    <w:p w:rsidR="00972253" w:rsidRDefault="00972253" w:rsidP="00265AED">
      <w:pPr>
        <w:pStyle w:val="NormalWeb"/>
        <w:spacing w:before="0" w:beforeAutospacing="0" w:after="0" w:afterAutospacing="0"/>
        <w:rPr>
          <w:rFonts w:ascii="Arial" w:hAnsi="Arial" w:cs="Arial"/>
        </w:rPr>
      </w:pPr>
      <w:r w:rsidRPr="00736961">
        <w:rPr>
          <w:rFonts w:ascii="Arial" w:hAnsi="Arial" w:cs="Arial"/>
        </w:rPr>
        <w:t>3. Establish a basis for evaluation of investment results.</w:t>
      </w:r>
    </w:p>
    <w:p w:rsidR="00D335DA" w:rsidRPr="00736961" w:rsidRDefault="00D335DA" w:rsidP="00265AED">
      <w:pPr>
        <w:pStyle w:val="NormalWeb"/>
        <w:spacing w:before="0" w:beforeAutospacing="0" w:after="0" w:afterAutospacing="0"/>
        <w:rPr>
          <w:rFonts w:ascii="Arial" w:hAnsi="Arial" w:cs="Arial"/>
        </w:rPr>
      </w:pPr>
    </w:p>
    <w:p w:rsidR="00972253" w:rsidRPr="00736961" w:rsidRDefault="00972253" w:rsidP="00736961">
      <w:pPr>
        <w:pStyle w:val="NormalWeb"/>
        <w:rPr>
          <w:rFonts w:ascii="Arial" w:hAnsi="Arial" w:cs="Arial"/>
          <w:b/>
          <w:caps/>
        </w:rPr>
      </w:pPr>
      <w:r w:rsidRPr="00736961">
        <w:rPr>
          <w:rFonts w:ascii="Arial" w:hAnsi="Arial" w:cs="Arial"/>
          <w:b/>
          <w:caps/>
        </w:rPr>
        <w:t>B. Description: The Suburban Rotary Charitable Foundation investment fund has two distinct parts</w:t>
      </w:r>
    </w:p>
    <w:p w:rsidR="00972253" w:rsidRPr="00736961" w:rsidRDefault="00972253" w:rsidP="00D335DA">
      <w:pPr>
        <w:pStyle w:val="PlainText"/>
        <w:rPr>
          <w:rFonts w:ascii="Arial" w:hAnsi="Arial" w:cs="Arial"/>
        </w:rPr>
      </w:pPr>
      <w:r w:rsidRPr="00736961">
        <w:rPr>
          <w:rFonts w:ascii="Arial" w:hAnsi="Arial" w:cs="Arial"/>
        </w:rPr>
        <w:t>1</w:t>
      </w:r>
      <w:r w:rsidR="00D819D1" w:rsidRPr="00736961">
        <w:rPr>
          <w:rFonts w:ascii="Arial" w:hAnsi="Arial" w:cs="Arial"/>
        </w:rPr>
        <w:t>.</w:t>
      </w:r>
      <w:r w:rsidR="009948B6" w:rsidRPr="00D335DA">
        <w:rPr>
          <w:rFonts w:ascii="Arial" w:hAnsi="Arial" w:cs="Arial"/>
          <w:sz w:val="24"/>
          <w:szCs w:val="24"/>
        </w:rPr>
        <w:t xml:space="preserve">  Revenues are raised throughout the year which are programmed to be expended according to the Annual Foundation Budget and for exceptional projects approved by the Foundation Board of </w:t>
      </w:r>
      <w:r w:rsidR="008A5015" w:rsidRPr="00D335DA">
        <w:rPr>
          <w:rFonts w:ascii="Arial" w:hAnsi="Arial" w:cs="Arial"/>
          <w:sz w:val="24"/>
          <w:szCs w:val="24"/>
        </w:rPr>
        <w:t>Trustees. Any</w:t>
      </w:r>
      <w:r w:rsidR="009E3511" w:rsidRPr="00D335DA">
        <w:rPr>
          <w:rFonts w:ascii="Arial" w:hAnsi="Arial" w:cs="Arial"/>
          <w:sz w:val="24"/>
          <w:szCs w:val="24"/>
        </w:rPr>
        <w:t xml:space="preserve"> forecasted amounts needed for distributions necessitating cash from the Investment Portfolio will be provided to the Investment Manager in a timely fashion.</w:t>
      </w:r>
      <w:r w:rsidR="009E3511">
        <w:rPr>
          <w:rFonts w:ascii="Arial" w:hAnsi="Arial" w:cs="Arial"/>
        </w:rPr>
        <w:t xml:space="preserve">  </w:t>
      </w:r>
    </w:p>
    <w:p w:rsidR="00972253" w:rsidRDefault="00972253" w:rsidP="00265AED">
      <w:pPr>
        <w:pStyle w:val="NormalWeb"/>
        <w:spacing w:before="0" w:beforeAutospacing="0" w:after="0" w:afterAutospacing="0"/>
        <w:rPr>
          <w:rFonts w:ascii="Arial" w:hAnsi="Arial" w:cs="Arial"/>
        </w:rPr>
      </w:pPr>
      <w:r w:rsidRPr="00736961">
        <w:rPr>
          <w:rFonts w:ascii="Arial" w:hAnsi="Arial" w:cs="Arial"/>
        </w:rPr>
        <w:t>2</w:t>
      </w:r>
      <w:r w:rsidR="00D819D1" w:rsidRPr="00736961">
        <w:rPr>
          <w:rFonts w:ascii="Arial" w:hAnsi="Arial" w:cs="Arial"/>
        </w:rPr>
        <w:t>.</w:t>
      </w:r>
      <w:r w:rsidRPr="00736961">
        <w:rPr>
          <w:rFonts w:ascii="Arial" w:hAnsi="Arial" w:cs="Arial"/>
        </w:rPr>
        <w:t xml:space="preserve"> </w:t>
      </w:r>
      <w:r w:rsidR="00D819D1" w:rsidRPr="00736961">
        <w:rPr>
          <w:rFonts w:ascii="Arial" w:hAnsi="Arial" w:cs="Arial"/>
        </w:rPr>
        <w:t>A</w:t>
      </w:r>
      <w:r w:rsidRPr="00736961">
        <w:rPr>
          <w:rFonts w:ascii="Arial" w:hAnsi="Arial" w:cs="Arial"/>
        </w:rPr>
        <w:t xml:space="preserve">mounts </w:t>
      </w:r>
      <w:r w:rsidR="00D819D1" w:rsidRPr="00736961">
        <w:rPr>
          <w:rFonts w:ascii="Arial" w:hAnsi="Arial" w:cs="Arial"/>
        </w:rPr>
        <w:t xml:space="preserve">are </w:t>
      </w:r>
      <w:r w:rsidRPr="00736961">
        <w:rPr>
          <w:rFonts w:ascii="Arial" w:hAnsi="Arial" w:cs="Arial"/>
        </w:rPr>
        <w:t xml:space="preserve">accumulated over a period of years for yet to be determined projects at some time in the future. </w:t>
      </w:r>
      <w:r w:rsidR="008A5015" w:rsidRPr="00736961">
        <w:rPr>
          <w:rFonts w:ascii="Arial" w:hAnsi="Arial" w:cs="Arial"/>
        </w:rPr>
        <w:t>Now</w:t>
      </w:r>
      <w:r w:rsidRPr="00736961">
        <w:rPr>
          <w:rFonts w:ascii="Arial" w:hAnsi="Arial" w:cs="Arial"/>
        </w:rPr>
        <w:t>, this balance is viewed as an “endowment” fund.</w:t>
      </w:r>
    </w:p>
    <w:p w:rsidR="009E3511" w:rsidRDefault="009E3511" w:rsidP="00265AED">
      <w:pPr>
        <w:pStyle w:val="NormalWeb"/>
        <w:spacing w:before="0" w:beforeAutospacing="0" w:after="0" w:afterAutospacing="0"/>
        <w:rPr>
          <w:rFonts w:ascii="Arial" w:hAnsi="Arial" w:cs="Arial"/>
        </w:rPr>
      </w:pPr>
    </w:p>
    <w:p w:rsidR="009E3511" w:rsidRPr="00736961" w:rsidRDefault="009E3511" w:rsidP="00265AED">
      <w:pPr>
        <w:pStyle w:val="NormalWeb"/>
        <w:spacing w:before="0" w:beforeAutospacing="0" w:after="0" w:afterAutospacing="0"/>
        <w:rPr>
          <w:rFonts w:ascii="Arial" w:hAnsi="Arial" w:cs="Arial"/>
        </w:rPr>
      </w:pPr>
    </w:p>
    <w:p w:rsidR="00972253" w:rsidRPr="00736961" w:rsidRDefault="00972253" w:rsidP="00736961">
      <w:pPr>
        <w:pStyle w:val="NormalWeb"/>
        <w:rPr>
          <w:rFonts w:ascii="Arial" w:hAnsi="Arial" w:cs="Arial"/>
          <w:b/>
          <w:caps/>
        </w:rPr>
      </w:pPr>
      <w:r w:rsidRPr="00736961">
        <w:rPr>
          <w:rFonts w:ascii="Arial" w:hAnsi="Arial" w:cs="Arial"/>
          <w:b/>
          <w:caps/>
        </w:rPr>
        <w:t>C. General Investment Principles</w:t>
      </w:r>
    </w:p>
    <w:p w:rsidR="00972253" w:rsidRPr="00736961" w:rsidRDefault="00972253" w:rsidP="00265AED">
      <w:pPr>
        <w:pStyle w:val="NormalWeb"/>
        <w:spacing w:before="0" w:beforeAutospacing="0" w:after="0" w:afterAutospacing="0"/>
        <w:rPr>
          <w:rFonts w:ascii="Arial" w:hAnsi="Arial" w:cs="Arial"/>
        </w:rPr>
      </w:pPr>
      <w:r w:rsidRPr="00736961">
        <w:rPr>
          <w:rFonts w:ascii="Arial" w:hAnsi="Arial" w:cs="Arial"/>
        </w:rPr>
        <w:t>1. The assets shall be invested with the care, s</w:t>
      </w:r>
      <w:r w:rsidR="00736961" w:rsidRPr="00736961">
        <w:rPr>
          <w:rFonts w:ascii="Arial" w:hAnsi="Arial" w:cs="Arial"/>
        </w:rPr>
        <w:t>k</w:t>
      </w:r>
      <w:r w:rsidRPr="00736961">
        <w:rPr>
          <w:rFonts w:ascii="Arial" w:hAnsi="Arial" w:cs="Arial"/>
        </w:rPr>
        <w:t xml:space="preserve">ill, prudence and diligence under the circumstance then prevailing that a prudent </w:t>
      </w:r>
      <w:r w:rsidR="00265AED">
        <w:rPr>
          <w:rFonts w:ascii="Arial" w:hAnsi="Arial" w:cs="Arial"/>
        </w:rPr>
        <w:t>person</w:t>
      </w:r>
      <w:r w:rsidRPr="00736961">
        <w:rPr>
          <w:rFonts w:ascii="Arial" w:hAnsi="Arial" w:cs="Arial"/>
        </w:rPr>
        <w:t xml:space="preserve"> acting in like capacity and familiar with such matters would use in the investment of assets of like character and with like aims.</w:t>
      </w:r>
    </w:p>
    <w:p w:rsidR="00972253" w:rsidRPr="00736961" w:rsidRDefault="00972253" w:rsidP="00265AED">
      <w:pPr>
        <w:pStyle w:val="NormalWeb"/>
        <w:spacing w:before="0" w:beforeAutospacing="0" w:after="0" w:afterAutospacing="0"/>
        <w:rPr>
          <w:rFonts w:ascii="Arial" w:hAnsi="Arial" w:cs="Arial"/>
        </w:rPr>
      </w:pPr>
      <w:r w:rsidRPr="00736961">
        <w:rPr>
          <w:rFonts w:ascii="Arial" w:hAnsi="Arial" w:cs="Arial"/>
        </w:rPr>
        <w:t>2. Investment of the assets shall be properly diversified as to minimize the risk of large losses, unless under the circumstances it is clearly prudent not to do so.</w:t>
      </w:r>
    </w:p>
    <w:p w:rsidR="00972253" w:rsidRPr="00736961" w:rsidRDefault="00972253" w:rsidP="00265AED">
      <w:pPr>
        <w:pStyle w:val="NormalWeb"/>
        <w:spacing w:before="0" w:beforeAutospacing="0" w:after="0" w:afterAutospacing="0"/>
        <w:rPr>
          <w:rFonts w:ascii="Arial" w:hAnsi="Arial" w:cs="Arial"/>
        </w:rPr>
      </w:pPr>
      <w:r w:rsidRPr="00736961">
        <w:rPr>
          <w:rFonts w:ascii="Arial" w:hAnsi="Arial" w:cs="Arial"/>
        </w:rPr>
        <w:t>3. The Investment Committee shall employ one Investment Manager to attain the Objective.</w:t>
      </w:r>
    </w:p>
    <w:p w:rsidR="00972253" w:rsidRDefault="00972253" w:rsidP="00265AED">
      <w:pPr>
        <w:pStyle w:val="NormalWeb"/>
        <w:spacing w:before="0" w:beforeAutospacing="0" w:after="0" w:afterAutospacing="0"/>
        <w:rPr>
          <w:rFonts w:ascii="Arial" w:hAnsi="Arial" w:cs="Arial"/>
        </w:rPr>
      </w:pPr>
      <w:r w:rsidRPr="00736961">
        <w:rPr>
          <w:rFonts w:ascii="Arial" w:hAnsi="Arial" w:cs="Arial"/>
        </w:rPr>
        <w:t>4. The assets are expected to exist indefinitely.</w:t>
      </w:r>
    </w:p>
    <w:p w:rsidR="009948B6" w:rsidRDefault="009948B6" w:rsidP="00736961">
      <w:pPr>
        <w:pStyle w:val="NormalWeb"/>
        <w:rPr>
          <w:rFonts w:ascii="Arial" w:hAnsi="Arial" w:cs="Arial"/>
          <w:b/>
          <w:caps/>
        </w:rPr>
      </w:pPr>
    </w:p>
    <w:p w:rsidR="00D335DA" w:rsidRDefault="00D335DA" w:rsidP="00736961">
      <w:pPr>
        <w:pStyle w:val="NormalWeb"/>
        <w:rPr>
          <w:rFonts w:ascii="Arial" w:hAnsi="Arial" w:cs="Arial"/>
          <w:b/>
          <w:caps/>
        </w:rPr>
      </w:pPr>
    </w:p>
    <w:p w:rsidR="00972253" w:rsidRPr="00736961" w:rsidRDefault="00972253" w:rsidP="00736961">
      <w:pPr>
        <w:pStyle w:val="NormalWeb"/>
        <w:rPr>
          <w:rFonts w:ascii="Arial" w:hAnsi="Arial" w:cs="Arial"/>
          <w:b/>
          <w:caps/>
        </w:rPr>
      </w:pPr>
      <w:r w:rsidRPr="00736961">
        <w:rPr>
          <w:rFonts w:ascii="Arial" w:hAnsi="Arial" w:cs="Arial"/>
          <w:b/>
          <w:caps/>
        </w:rPr>
        <w:t>D. Committee Responsibility</w:t>
      </w:r>
    </w:p>
    <w:p w:rsidR="00972253" w:rsidRPr="00736961" w:rsidRDefault="00182B33" w:rsidP="00736961">
      <w:pPr>
        <w:pStyle w:val="NormalWeb"/>
        <w:rPr>
          <w:rFonts w:ascii="Arial" w:hAnsi="Arial" w:cs="Arial"/>
        </w:rPr>
      </w:pPr>
      <w:r>
        <w:rPr>
          <w:rFonts w:ascii="Arial" w:hAnsi="Arial" w:cs="Arial"/>
        </w:rPr>
        <w:t>At the direction of the Board of Trustees, t</w:t>
      </w:r>
      <w:r w:rsidR="00972253" w:rsidRPr="00736961">
        <w:rPr>
          <w:rFonts w:ascii="Arial" w:hAnsi="Arial" w:cs="Arial"/>
        </w:rPr>
        <w:t>he Investment Committee is charged with the responsibility for administration of the assets. The specific responsibilities of the Committee include:</w:t>
      </w:r>
    </w:p>
    <w:p w:rsidR="00972253" w:rsidRPr="00736961" w:rsidRDefault="00972253" w:rsidP="00265AED">
      <w:pPr>
        <w:pStyle w:val="NormalWeb"/>
        <w:spacing w:before="0" w:beforeAutospacing="0" w:after="0" w:afterAutospacing="0"/>
        <w:rPr>
          <w:rFonts w:ascii="Arial" w:hAnsi="Arial" w:cs="Arial"/>
        </w:rPr>
      </w:pPr>
      <w:r w:rsidRPr="00736961">
        <w:rPr>
          <w:rFonts w:ascii="Arial" w:hAnsi="Arial" w:cs="Arial"/>
        </w:rPr>
        <w:t xml:space="preserve">1. </w:t>
      </w:r>
      <w:r w:rsidR="009948B6">
        <w:rPr>
          <w:rFonts w:ascii="Arial" w:hAnsi="Arial" w:cs="Arial"/>
        </w:rPr>
        <w:t>Selecting and Monitoring the investment manager including but limited to m</w:t>
      </w:r>
      <w:r w:rsidRPr="00736961">
        <w:rPr>
          <w:rFonts w:ascii="Arial" w:hAnsi="Arial" w:cs="Arial"/>
        </w:rPr>
        <w:t xml:space="preserve">onitoring compliance with applicable guidelines and limitations. </w:t>
      </w:r>
    </w:p>
    <w:p w:rsidR="00972253" w:rsidRPr="00736961" w:rsidRDefault="00972253" w:rsidP="00265AED">
      <w:pPr>
        <w:pStyle w:val="NormalWeb"/>
        <w:spacing w:before="0" w:beforeAutospacing="0" w:after="0" w:afterAutospacing="0"/>
        <w:rPr>
          <w:rFonts w:ascii="Arial" w:hAnsi="Arial" w:cs="Arial"/>
        </w:rPr>
      </w:pPr>
      <w:r w:rsidRPr="00736961">
        <w:rPr>
          <w:rFonts w:ascii="Arial" w:hAnsi="Arial" w:cs="Arial"/>
        </w:rPr>
        <w:t>2. Determining liquidity needs, and communicating these to appropriate parties.</w:t>
      </w:r>
    </w:p>
    <w:p w:rsidR="00972253" w:rsidRPr="00736961" w:rsidRDefault="00972253" w:rsidP="00265AED">
      <w:pPr>
        <w:pStyle w:val="NormalWeb"/>
        <w:spacing w:before="0" w:beforeAutospacing="0" w:after="0" w:afterAutospacing="0"/>
        <w:rPr>
          <w:rFonts w:ascii="Arial" w:hAnsi="Arial" w:cs="Arial"/>
        </w:rPr>
      </w:pPr>
      <w:r w:rsidRPr="00736961">
        <w:rPr>
          <w:rFonts w:ascii="Arial" w:hAnsi="Arial" w:cs="Arial"/>
        </w:rPr>
        <w:t xml:space="preserve">3. Setting the target equity and fixed income allocations within the ranges set forth in Section </w:t>
      </w:r>
      <w:r w:rsidR="004D03B1" w:rsidRPr="00736961">
        <w:rPr>
          <w:rFonts w:ascii="Arial" w:hAnsi="Arial" w:cs="Arial"/>
        </w:rPr>
        <w:t>H</w:t>
      </w:r>
      <w:r w:rsidRPr="00736961">
        <w:rPr>
          <w:rFonts w:ascii="Arial" w:hAnsi="Arial" w:cs="Arial"/>
        </w:rPr>
        <w:t>.</w:t>
      </w:r>
    </w:p>
    <w:p w:rsidR="00972253" w:rsidRDefault="00972253" w:rsidP="00265AED">
      <w:pPr>
        <w:pStyle w:val="NormalWeb"/>
        <w:spacing w:before="0" w:beforeAutospacing="0" w:after="0" w:afterAutospacing="0"/>
        <w:rPr>
          <w:rFonts w:ascii="Arial" w:hAnsi="Arial" w:cs="Arial"/>
        </w:rPr>
      </w:pPr>
      <w:r w:rsidRPr="00736961">
        <w:rPr>
          <w:rFonts w:ascii="Arial" w:hAnsi="Arial" w:cs="Arial"/>
        </w:rPr>
        <w:t>4. Evaluating Inv</w:t>
      </w:r>
      <w:r w:rsidR="006179B5">
        <w:rPr>
          <w:rFonts w:ascii="Arial" w:hAnsi="Arial" w:cs="Arial"/>
        </w:rPr>
        <w:t xml:space="preserve">estment Management performance on a </w:t>
      </w:r>
      <w:r w:rsidR="002C2685">
        <w:rPr>
          <w:rFonts w:ascii="Arial" w:hAnsi="Arial" w:cs="Arial"/>
        </w:rPr>
        <w:t xml:space="preserve">semi-annual </w:t>
      </w:r>
      <w:r w:rsidR="006179B5">
        <w:rPr>
          <w:rFonts w:ascii="Arial" w:hAnsi="Arial" w:cs="Arial"/>
        </w:rPr>
        <w:t>basis</w:t>
      </w:r>
      <w:r w:rsidR="009948B6">
        <w:rPr>
          <w:rFonts w:ascii="Arial" w:hAnsi="Arial" w:cs="Arial"/>
        </w:rPr>
        <w:t>, but reviewing such results on a 1, 3 and 5 year rolling average</w:t>
      </w:r>
      <w:r w:rsidR="008A5015">
        <w:rPr>
          <w:rFonts w:ascii="Arial" w:hAnsi="Arial" w:cs="Arial"/>
        </w:rPr>
        <w:t>.</w:t>
      </w:r>
    </w:p>
    <w:p w:rsidR="003116EA" w:rsidRDefault="003116EA" w:rsidP="00265AED">
      <w:pPr>
        <w:pStyle w:val="NormalWeb"/>
        <w:spacing w:before="0" w:beforeAutospacing="0" w:after="0" w:afterAutospacing="0"/>
        <w:rPr>
          <w:rFonts w:ascii="Arial" w:hAnsi="Arial" w:cs="Arial"/>
        </w:rPr>
      </w:pPr>
      <w:r>
        <w:rPr>
          <w:rFonts w:ascii="Arial" w:hAnsi="Arial" w:cs="Arial"/>
        </w:rPr>
        <w:t xml:space="preserve">5. Presentation to the </w:t>
      </w:r>
      <w:r w:rsidR="00F315B5">
        <w:rPr>
          <w:rFonts w:ascii="Arial" w:hAnsi="Arial" w:cs="Arial"/>
        </w:rPr>
        <w:t>B</w:t>
      </w:r>
      <w:r>
        <w:rPr>
          <w:rFonts w:ascii="Arial" w:hAnsi="Arial" w:cs="Arial"/>
        </w:rPr>
        <w:t xml:space="preserve">oard annually along with the Investment Manager. </w:t>
      </w:r>
    </w:p>
    <w:p w:rsidR="002C2685" w:rsidRDefault="002C2685" w:rsidP="00265AED">
      <w:pPr>
        <w:pStyle w:val="NormalWeb"/>
        <w:spacing w:before="0" w:beforeAutospacing="0" w:after="0" w:afterAutospacing="0"/>
        <w:rPr>
          <w:rFonts w:ascii="Arial" w:hAnsi="Arial" w:cs="Arial"/>
        </w:rPr>
      </w:pPr>
      <w:r>
        <w:rPr>
          <w:rFonts w:ascii="Arial" w:hAnsi="Arial" w:cs="Arial"/>
        </w:rPr>
        <w:t>6. Review the Risk Profile analysis provided by the Investment Manager annually. Inform Investment Manager of any changes that may impact the investments in the portfolio.</w:t>
      </w:r>
    </w:p>
    <w:p w:rsidR="002C2685" w:rsidRPr="00736961" w:rsidRDefault="002C2685" w:rsidP="00265AED">
      <w:pPr>
        <w:pStyle w:val="NormalWeb"/>
        <w:spacing w:before="0" w:beforeAutospacing="0" w:after="0" w:afterAutospacing="0"/>
        <w:rPr>
          <w:rFonts w:ascii="Arial" w:hAnsi="Arial" w:cs="Arial"/>
        </w:rPr>
      </w:pPr>
    </w:p>
    <w:p w:rsidR="00972253" w:rsidRPr="00736961" w:rsidRDefault="00E51EED" w:rsidP="00736961">
      <w:pPr>
        <w:pStyle w:val="NormalWeb"/>
        <w:rPr>
          <w:rFonts w:ascii="Arial" w:hAnsi="Arial" w:cs="Arial"/>
          <w:b/>
          <w:caps/>
        </w:rPr>
      </w:pPr>
      <w:r>
        <w:rPr>
          <w:rFonts w:ascii="Arial" w:hAnsi="Arial" w:cs="Arial"/>
          <w:b/>
          <w:caps/>
        </w:rPr>
        <w:t>E. Liquidity</w:t>
      </w:r>
    </w:p>
    <w:p w:rsidR="00972253" w:rsidRPr="00736961" w:rsidRDefault="00972253" w:rsidP="00E85677">
      <w:pPr>
        <w:pStyle w:val="NormalWeb"/>
        <w:spacing w:before="0" w:beforeAutospacing="0" w:after="0" w:afterAutospacing="0"/>
        <w:rPr>
          <w:rFonts w:ascii="Arial" w:hAnsi="Arial" w:cs="Arial"/>
        </w:rPr>
      </w:pPr>
      <w:r w:rsidRPr="00736961">
        <w:rPr>
          <w:rFonts w:ascii="Arial" w:hAnsi="Arial" w:cs="Arial"/>
        </w:rPr>
        <w:t xml:space="preserve">1. The majority of these revenues are raised via the annual </w:t>
      </w:r>
      <w:r w:rsidR="008A5015" w:rsidRPr="00736961">
        <w:rPr>
          <w:rFonts w:ascii="Arial" w:hAnsi="Arial" w:cs="Arial"/>
        </w:rPr>
        <w:t>fund-raising</w:t>
      </w:r>
      <w:r w:rsidRPr="00736961">
        <w:rPr>
          <w:rFonts w:ascii="Arial" w:hAnsi="Arial" w:cs="Arial"/>
        </w:rPr>
        <w:t xml:space="preserve"> event in April of each year. Lesser amounts are raised throughout the other months of the year. The majority of expenditures are for the handicapped scholarships which are awarded in May but not actually paid until September of each year</w:t>
      </w:r>
      <w:r w:rsidR="009E3511">
        <w:rPr>
          <w:rFonts w:ascii="Arial" w:hAnsi="Arial" w:cs="Arial"/>
        </w:rPr>
        <w:t xml:space="preserve">. </w:t>
      </w:r>
      <w:r w:rsidR="009948B6">
        <w:rPr>
          <w:rFonts w:ascii="Arial" w:hAnsi="Arial" w:cs="Arial"/>
        </w:rPr>
        <w:t xml:space="preserve">In addition, exceptional projects authorized by the Trustees will be funded annually. </w:t>
      </w:r>
      <w:r w:rsidR="009E3511">
        <w:rPr>
          <w:rFonts w:ascii="Arial" w:hAnsi="Arial" w:cs="Arial"/>
        </w:rPr>
        <w:t xml:space="preserve"> Generally,</w:t>
      </w:r>
      <w:r w:rsidR="009948B6">
        <w:rPr>
          <w:rFonts w:ascii="Arial" w:hAnsi="Arial" w:cs="Arial"/>
        </w:rPr>
        <w:t xml:space="preserve"> </w:t>
      </w:r>
      <w:r w:rsidR="009E3511">
        <w:rPr>
          <w:rFonts w:ascii="Arial" w:hAnsi="Arial" w:cs="Arial"/>
        </w:rPr>
        <w:t>amounts</w:t>
      </w:r>
      <w:r w:rsidR="009948B6">
        <w:rPr>
          <w:rFonts w:ascii="Arial" w:hAnsi="Arial" w:cs="Arial"/>
        </w:rPr>
        <w:t xml:space="preserve"> sufficient for these purposes</w:t>
      </w:r>
      <w:r w:rsidR="009E3511">
        <w:rPr>
          <w:rFonts w:ascii="Arial" w:hAnsi="Arial" w:cs="Arial"/>
        </w:rPr>
        <w:t xml:space="preserve"> are held within the Foundation cash accounts and not transferred to the investment portfolio</w:t>
      </w:r>
      <w:r w:rsidR="009948B6">
        <w:rPr>
          <w:rFonts w:ascii="Arial" w:hAnsi="Arial" w:cs="Arial"/>
        </w:rPr>
        <w:t xml:space="preserve"> providing all needed liquidity for the year</w:t>
      </w:r>
      <w:r w:rsidR="009E3511">
        <w:rPr>
          <w:rFonts w:ascii="Arial" w:hAnsi="Arial" w:cs="Arial"/>
        </w:rPr>
        <w:t>.</w:t>
      </w:r>
      <w:r w:rsidR="009E3511" w:rsidRPr="009E3511">
        <w:rPr>
          <w:rFonts w:ascii="Arial" w:hAnsi="Arial" w:cs="Arial"/>
        </w:rPr>
        <w:t xml:space="preserve"> </w:t>
      </w:r>
      <w:r w:rsidR="009E3511">
        <w:rPr>
          <w:rFonts w:ascii="Arial" w:hAnsi="Arial" w:cs="Arial"/>
        </w:rPr>
        <w:t xml:space="preserve"> Any forecasted amounts needed for distributions necessitating cash from the Investment Portfolio will be provided to the Investment Manager in a timely fashion.  In the event of a funding shortfall of revenue for the Foundation</w:t>
      </w:r>
      <w:r w:rsidR="009948B6">
        <w:rPr>
          <w:rFonts w:ascii="Arial" w:hAnsi="Arial" w:cs="Arial"/>
        </w:rPr>
        <w:t>,</w:t>
      </w:r>
      <w:r w:rsidR="009E3511">
        <w:rPr>
          <w:rFonts w:ascii="Arial" w:hAnsi="Arial" w:cs="Arial"/>
        </w:rPr>
        <w:t xml:space="preserve"> there </w:t>
      </w:r>
      <w:r w:rsidR="009948B6">
        <w:rPr>
          <w:rFonts w:ascii="Arial" w:hAnsi="Arial" w:cs="Arial"/>
        </w:rPr>
        <w:t>sh</w:t>
      </w:r>
      <w:r w:rsidR="009E3511">
        <w:rPr>
          <w:rFonts w:ascii="Arial" w:hAnsi="Arial" w:cs="Arial"/>
        </w:rPr>
        <w:t>ould be sufficient time to provide such notice to the Investment Manager for prudent liquidation of positions to provide such funding</w:t>
      </w:r>
      <w:r w:rsidR="009948B6">
        <w:rPr>
          <w:rFonts w:ascii="Arial" w:hAnsi="Arial" w:cs="Arial"/>
        </w:rPr>
        <w:t xml:space="preserve"> required for future needs</w:t>
      </w:r>
      <w:r w:rsidR="009E3511">
        <w:rPr>
          <w:rFonts w:ascii="Arial" w:hAnsi="Arial" w:cs="Arial"/>
        </w:rPr>
        <w:t xml:space="preserve">. </w:t>
      </w:r>
      <w:r w:rsidRPr="00736961">
        <w:rPr>
          <w:rFonts w:ascii="Arial" w:hAnsi="Arial" w:cs="Arial"/>
        </w:rPr>
        <w:t xml:space="preserve"> </w:t>
      </w:r>
    </w:p>
    <w:p w:rsidR="00972253" w:rsidRDefault="00972253" w:rsidP="00E85677">
      <w:pPr>
        <w:pStyle w:val="NormalWeb"/>
        <w:spacing w:before="0" w:beforeAutospacing="0" w:after="0" w:afterAutospacing="0"/>
        <w:rPr>
          <w:rFonts w:ascii="Arial" w:hAnsi="Arial" w:cs="Arial"/>
        </w:rPr>
      </w:pPr>
      <w:r w:rsidRPr="00736961">
        <w:rPr>
          <w:rFonts w:ascii="Arial" w:hAnsi="Arial" w:cs="Arial"/>
        </w:rPr>
        <w:t>2. Until directed otherwise, these amounts</w:t>
      </w:r>
      <w:r w:rsidR="009948B6">
        <w:rPr>
          <w:rFonts w:ascii="Arial" w:hAnsi="Arial" w:cs="Arial"/>
        </w:rPr>
        <w:t xml:space="preserve"> (with the exception of the Foundation cash accounts held outside the Investment Portfolio)</w:t>
      </w:r>
      <w:r w:rsidRPr="00736961">
        <w:rPr>
          <w:rFonts w:ascii="Arial" w:hAnsi="Arial" w:cs="Arial"/>
        </w:rPr>
        <w:t xml:space="preserve"> should be viewed as being available for investment on a long-term basis. At such future time that a major charitable project is identified, there should be adequate time to manage the liquidation of these investments so that losses do not occur.</w:t>
      </w:r>
    </w:p>
    <w:p w:rsidR="009948B6" w:rsidRPr="00736961" w:rsidRDefault="009948B6" w:rsidP="00E85677">
      <w:pPr>
        <w:pStyle w:val="NormalWeb"/>
        <w:spacing w:before="0" w:beforeAutospacing="0" w:after="0" w:afterAutospacing="0"/>
        <w:rPr>
          <w:rFonts w:ascii="Arial" w:hAnsi="Arial" w:cs="Arial"/>
        </w:rPr>
      </w:pPr>
      <w:r>
        <w:rPr>
          <w:rFonts w:ascii="Arial" w:hAnsi="Arial" w:cs="Arial"/>
        </w:rPr>
        <w:t xml:space="preserve">3. No investments shall be made in securities not routinely </w:t>
      </w:r>
      <w:r w:rsidR="00501D8E">
        <w:rPr>
          <w:rFonts w:ascii="Arial" w:hAnsi="Arial" w:cs="Arial"/>
        </w:rPr>
        <w:t xml:space="preserve">liquid within 3 days of sale. </w:t>
      </w:r>
    </w:p>
    <w:p w:rsidR="00D335DA" w:rsidRDefault="00D335DA" w:rsidP="00736961">
      <w:pPr>
        <w:pStyle w:val="NormalWeb"/>
        <w:rPr>
          <w:rFonts w:ascii="Arial" w:hAnsi="Arial" w:cs="Arial"/>
          <w:b/>
          <w:caps/>
        </w:rPr>
      </w:pPr>
    </w:p>
    <w:p w:rsidR="00972253" w:rsidRPr="00736961" w:rsidRDefault="00E51EED" w:rsidP="00736961">
      <w:pPr>
        <w:pStyle w:val="NormalWeb"/>
        <w:rPr>
          <w:rFonts w:ascii="Arial" w:hAnsi="Arial" w:cs="Arial"/>
          <w:b/>
          <w:caps/>
        </w:rPr>
      </w:pPr>
      <w:r>
        <w:rPr>
          <w:rFonts w:ascii="Arial" w:hAnsi="Arial" w:cs="Arial"/>
          <w:b/>
          <w:caps/>
        </w:rPr>
        <w:lastRenderedPageBreak/>
        <w:t>F. Investment Goals</w:t>
      </w:r>
    </w:p>
    <w:p w:rsidR="00972253" w:rsidRPr="00736961" w:rsidRDefault="00972253" w:rsidP="00E85677">
      <w:pPr>
        <w:pStyle w:val="NormalWeb"/>
        <w:spacing w:before="0" w:beforeAutospacing="0" w:after="0" w:afterAutospacing="0"/>
        <w:rPr>
          <w:rFonts w:ascii="Arial" w:hAnsi="Arial" w:cs="Arial"/>
        </w:rPr>
      </w:pPr>
      <w:r w:rsidRPr="00736961">
        <w:rPr>
          <w:rFonts w:ascii="Arial" w:hAnsi="Arial" w:cs="Arial"/>
        </w:rPr>
        <w:t xml:space="preserve"> </w:t>
      </w:r>
    </w:p>
    <w:p w:rsidR="00972253" w:rsidRPr="00736961" w:rsidRDefault="001E268C" w:rsidP="00E85677">
      <w:pPr>
        <w:pStyle w:val="NormalWeb"/>
        <w:spacing w:before="0" w:beforeAutospacing="0" w:after="0" w:afterAutospacing="0"/>
        <w:rPr>
          <w:rFonts w:ascii="Arial" w:hAnsi="Arial" w:cs="Arial"/>
        </w:rPr>
      </w:pPr>
      <w:r>
        <w:rPr>
          <w:rFonts w:ascii="Arial" w:hAnsi="Arial" w:cs="Arial"/>
        </w:rPr>
        <w:t>1</w:t>
      </w:r>
      <w:r w:rsidR="00972253" w:rsidRPr="00736961">
        <w:rPr>
          <w:rFonts w:ascii="Arial" w:hAnsi="Arial" w:cs="Arial"/>
        </w:rPr>
        <w:t>. Safety of principal is important for these funds, but with consideration for long-term growth</w:t>
      </w:r>
      <w:r w:rsidR="004D37C7" w:rsidRPr="004D37C7">
        <w:rPr>
          <w:rFonts w:ascii="Arial" w:hAnsi="Arial" w:cs="Arial"/>
        </w:rPr>
        <w:t xml:space="preserve"> </w:t>
      </w:r>
      <w:r w:rsidR="004D37C7">
        <w:rPr>
          <w:rFonts w:ascii="Arial" w:hAnsi="Arial" w:cs="Arial"/>
        </w:rPr>
        <w:t>within the parameters of the Risk Profile under number 3 below</w:t>
      </w:r>
      <w:r w:rsidR="00972253" w:rsidRPr="00736961">
        <w:rPr>
          <w:rFonts w:ascii="Arial" w:hAnsi="Arial" w:cs="Arial"/>
        </w:rPr>
        <w:t>. Income will be reinvested to provide for further growth</w:t>
      </w:r>
      <w:r w:rsidR="002C2685">
        <w:rPr>
          <w:rFonts w:ascii="Arial" w:hAnsi="Arial" w:cs="Arial"/>
        </w:rPr>
        <w:t xml:space="preserve"> net of funding for endowed scholarships</w:t>
      </w:r>
      <w:r w:rsidR="00972253" w:rsidRPr="00736961">
        <w:rPr>
          <w:rFonts w:ascii="Arial" w:hAnsi="Arial" w:cs="Arial"/>
        </w:rPr>
        <w:t>.</w:t>
      </w:r>
    </w:p>
    <w:p w:rsidR="00972253" w:rsidRDefault="001E268C" w:rsidP="00E85677">
      <w:pPr>
        <w:pStyle w:val="NormalWeb"/>
        <w:spacing w:before="0" w:beforeAutospacing="0" w:after="0" w:afterAutospacing="0"/>
        <w:rPr>
          <w:rFonts w:ascii="Arial" w:hAnsi="Arial" w:cs="Arial"/>
        </w:rPr>
      </w:pPr>
      <w:r>
        <w:rPr>
          <w:rFonts w:ascii="Arial" w:hAnsi="Arial" w:cs="Arial"/>
        </w:rPr>
        <w:t>2</w:t>
      </w:r>
      <w:r w:rsidR="00972253" w:rsidRPr="00736961">
        <w:rPr>
          <w:rFonts w:ascii="Arial" w:hAnsi="Arial" w:cs="Arial"/>
        </w:rPr>
        <w:t xml:space="preserve">. The total return objective is to exceed the return </w:t>
      </w:r>
      <w:r w:rsidR="002C2685">
        <w:rPr>
          <w:rFonts w:ascii="Arial" w:hAnsi="Arial" w:cs="Arial"/>
        </w:rPr>
        <w:t>of CPI + 3.0% on an annualized basis</w:t>
      </w:r>
      <w:r w:rsidR="00972253" w:rsidRPr="00736961">
        <w:rPr>
          <w:rFonts w:ascii="Arial" w:hAnsi="Arial" w:cs="Arial"/>
        </w:rPr>
        <w:t xml:space="preserve">. </w:t>
      </w:r>
    </w:p>
    <w:p w:rsidR="007223D1" w:rsidRDefault="001E268C" w:rsidP="007223D1">
      <w:pPr>
        <w:autoSpaceDE w:val="0"/>
        <w:autoSpaceDN w:val="0"/>
        <w:adjustRightInd w:val="0"/>
        <w:rPr>
          <w:rFonts w:ascii="Arial" w:hAnsi="Arial" w:cs="Arial"/>
        </w:rPr>
      </w:pPr>
      <w:r>
        <w:rPr>
          <w:rFonts w:ascii="Arial" w:hAnsi="Arial" w:cs="Arial"/>
        </w:rPr>
        <w:t>3</w:t>
      </w:r>
      <w:r w:rsidR="00B31BA4">
        <w:rPr>
          <w:rFonts w:ascii="Arial" w:hAnsi="Arial" w:cs="Arial"/>
        </w:rPr>
        <w:t xml:space="preserve">. </w:t>
      </w:r>
      <w:r w:rsidR="002B07DA">
        <w:rPr>
          <w:rFonts w:ascii="Arial" w:hAnsi="Arial" w:cs="Arial"/>
        </w:rPr>
        <w:t>The</w:t>
      </w:r>
      <w:r w:rsidR="00572E86">
        <w:rPr>
          <w:rFonts w:ascii="Arial" w:hAnsi="Arial" w:cs="Arial"/>
        </w:rPr>
        <w:t xml:space="preserve"> risk profile analysis</w:t>
      </w:r>
      <w:r w:rsidR="002B07DA">
        <w:rPr>
          <w:rFonts w:ascii="Arial" w:hAnsi="Arial" w:cs="Arial"/>
        </w:rPr>
        <w:t xml:space="preserve"> originally completed in Ma</w:t>
      </w:r>
      <w:r w:rsidR="009E3511">
        <w:rPr>
          <w:rFonts w:ascii="Arial" w:hAnsi="Arial" w:cs="Arial"/>
        </w:rPr>
        <w:t>rch</w:t>
      </w:r>
      <w:r w:rsidR="002B07DA">
        <w:rPr>
          <w:rFonts w:ascii="Arial" w:hAnsi="Arial" w:cs="Arial"/>
        </w:rPr>
        <w:t xml:space="preserve"> 20</w:t>
      </w:r>
      <w:r w:rsidR="009E3511">
        <w:rPr>
          <w:rFonts w:ascii="Arial" w:hAnsi="Arial" w:cs="Arial"/>
        </w:rPr>
        <w:t>17</w:t>
      </w:r>
      <w:r w:rsidR="002B07DA">
        <w:rPr>
          <w:rFonts w:ascii="Arial" w:hAnsi="Arial" w:cs="Arial"/>
        </w:rPr>
        <w:t xml:space="preserve"> was reviewed and </w:t>
      </w:r>
      <w:r w:rsidR="00125398">
        <w:rPr>
          <w:rFonts w:ascii="Arial" w:hAnsi="Arial" w:cs="Arial"/>
        </w:rPr>
        <w:t>updated at</w:t>
      </w:r>
      <w:r w:rsidR="00572E86">
        <w:rPr>
          <w:rFonts w:ascii="Arial" w:hAnsi="Arial" w:cs="Arial"/>
        </w:rPr>
        <w:t xml:space="preserve"> the investment committee meeting in </w:t>
      </w:r>
      <w:r w:rsidR="008A5015">
        <w:rPr>
          <w:rFonts w:ascii="Arial" w:hAnsi="Arial" w:cs="Arial"/>
        </w:rPr>
        <w:t>April 2017</w:t>
      </w:r>
      <w:r w:rsidR="00572E86">
        <w:rPr>
          <w:rFonts w:ascii="Arial" w:hAnsi="Arial" w:cs="Arial"/>
        </w:rPr>
        <w:t xml:space="preserve">, </w:t>
      </w:r>
      <w:r w:rsidR="009E3511">
        <w:rPr>
          <w:rFonts w:ascii="Arial" w:hAnsi="Arial" w:cs="Arial"/>
        </w:rPr>
        <w:t>with the following determination</w:t>
      </w:r>
      <w:r w:rsidR="007223D1">
        <w:rPr>
          <w:rFonts w:ascii="Arial" w:hAnsi="Arial" w:cs="Arial"/>
        </w:rPr>
        <w:t>s:</w:t>
      </w:r>
      <w:r w:rsidR="009E3511">
        <w:rPr>
          <w:rFonts w:ascii="Arial" w:hAnsi="Arial" w:cs="Arial"/>
        </w:rPr>
        <w:t xml:space="preserve"> </w:t>
      </w:r>
    </w:p>
    <w:p w:rsidR="00D335DA" w:rsidRDefault="00D335DA" w:rsidP="007223D1">
      <w:pPr>
        <w:autoSpaceDE w:val="0"/>
        <w:autoSpaceDN w:val="0"/>
        <w:adjustRightInd w:val="0"/>
        <w:rPr>
          <w:rFonts w:ascii="Arial" w:hAnsi="Arial" w:cs="Arial"/>
        </w:rPr>
      </w:pPr>
    </w:p>
    <w:p w:rsidR="007223D1" w:rsidRPr="00D335DA" w:rsidRDefault="007223D1" w:rsidP="007223D1">
      <w:pPr>
        <w:autoSpaceDE w:val="0"/>
        <w:autoSpaceDN w:val="0"/>
        <w:adjustRightInd w:val="0"/>
        <w:rPr>
          <w:rFonts w:ascii="Arial" w:hAnsi="Arial" w:cs="Arial"/>
          <w:b/>
          <w:bCs/>
        </w:rPr>
      </w:pPr>
      <w:r w:rsidRPr="00D335DA">
        <w:rPr>
          <w:rFonts w:ascii="Arial" w:hAnsi="Arial" w:cs="Arial"/>
          <w:b/>
          <w:bCs/>
        </w:rPr>
        <w:t>The Investment Committee has defined the risk profile stating that the Foundation:</w:t>
      </w:r>
    </w:p>
    <w:p w:rsidR="007223D1" w:rsidRPr="00D335DA" w:rsidRDefault="007223D1" w:rsidP="00D335DA">
      <w:pPr>
        <w:pStyle w:val="ListParagraph"/>
        <w:numPr>
          <w:ilvl w:val="0"/>
          <w:numId w:val="1"/>
        </w:numPr>
        <w:autoSpaceDE w:val="0"/>
        <w:autoSpaceDN w:val="0"/>
        <w:adjustRightInd w:val="0"/>
        <w:rPr>
          <w:rFonts w:ascii="Arial" w:hAnsi="Arial" w:cs="Arial"/>
        </w:rPr>
      </w:pPr>
      <w:r w:rsidRPr="00D335DA">
        <w:rPr>
          <w:rFonts w:ascii="Arial" w:hAnsi="Arial" w:cs="Arial"/>
        </w:rPr>
        <w:t xml:space="preserve">has a 5 - </w:t>
      </w:r>
      <w:r w:rsidR="008A5015" w:rsidRPr="007223D1">
        <w:rPr>
          <w:rFonts w:ascii="Arial" w:hAnsi="Arial" w:cs="Arial"/>
        </w:rPr>
        <w:t>10-year</w:t>
      </w:r>
      <w:r w:rsidRPr="00D335DA">
        <w:rPr>
          <w:rFonts w:ascii="Arial" w:hAnsi="Arial" w:cs="Arial"/>
        </w:rPr>
        <w:t xml:space="preserve"> outlook and wants to grow the assets with some income required when needed</w:t>
      </w:r>
    </w:p>
    <w:p w:rsidR="007223D1" w:rsidRPr="00D335DA" w:rsidRDefault="007223D1" w:rsidP="00D335DA">
      <w:pPr>
        <w:pStyle w:val="ListParagraph"/>
        <w:numPr>
          <w:ilvl w:val="0"/>
          <w:numId w:val="1"/>
        </w:numPr>
        <w:autoSpaceDE w:val="0"/>
        <w:autoSpaceDN w:val="0"/>
        <w:adjustRightInd w:val="0"/>
        <w:rPr>
          <w:rFonts w:ascii="Arial" w:hAnsi="Arial" w:cs="Arial"/>
        </w:rPr>
      </w:pPr>
      <w:r w:rsidRPr="00D335DA">
        <w:rPr>
          <w:rFonts w:ascii="Arial" w:hAnsi="Arial" w:cs="Arial"/>
        </w:rPr>
        <w:t>is willing to accept a generally higher risk portfolio to achieve moderate growth over time</w:t>
      </w:r>
    </w:p>
    <w:p w:rsidR="007223D1" w:rsidRPr="00D335DA" w:rsidRDefault="007223D1" w:rsidP="00D335DA">
      <w:pPr>
        <w:pStyle w:val="ListParagraph"/>
        <w:numPr>
          <w:ilvl w:val="0"/>
          <w:numId w:val="1"/>
        </w:numPr>
        <w:autoSpaceDE w:val="0"/>
        <w:autoSpaceDN w:val="0"/>
        <w:adjustRightInd w:val="0"/>
        <w:rPr>
          <w:rFonts w:ascii="Arial" w:hAnsi="Arial" w:cs="Arial"/>
        </w:rPr>
      </w:pPr>
      <w:r w:rsidRPr="00D335DA">
        <w:rPr>
          <w:rFonts w:ascii="Arial" w:hAnsi="Arial" w:cs="Arial"/>
        </w:rPr>
        <w:t>is willing to take some risk to achieve gains and have an above average risk tolerance</w:t>
      </w:r>
    </w:p>
    <w:p w:rsidR="007223D1" w:rsidRPr="00D335DA" w:rsidRDefault="007223D1" w:rsidP="00D335DA">
      <w:pPr>
        <w:pStyle w:val="ListParagraph"/>
        <w:numPr>
          <w:ilvl w:val="0"/>
          <w:numId w:val="1"/>
        </w:numPr>
        <w:autoSpaceDE w:val="0"/>
        <w:autoSpaceDN w:val="0"/>
        <w:adjustRightInd w:val="0"/>
        <w:rPr>
          <w:rFonts w:ascii="Arial" w:hAnsi="Arial" w:cs="Arial"/>
        </w:rPr>
      </w:pPr>
      <w:r w:rsidRPr="00D335DA">
        <w:rPr>
          <w:rFonts w:ascii="Arial" w:hAnsi="Arial" w:cs="Arial"/>
        </w:rPr>
        <w:t>can tolerate a drawdown of no more than 30% in a tough market; however, wouldn't need to make</w:t>
      </w:r>
      <w:r>
        <w:rPr>
          <w:rFonts w:ascii="Arial" w:hAnsi="Arial" w:cs="Arial"/>
        </w:rPr>
        <w:t xml:space="preserve"> </w:t>
      </w:r>
      <w:r w:rsidRPr="00D335DA">
        <w:rPr>
          <w:rFonts w:ascii="Arial" w:hAnsi="Arial" w:cs="Arial"/>
        </w:rPr>
        <w:t>changes to protect principal to adapt in a tough market.</w:t>
      </w:r>
    </w:p>
    <w:p w:rsidR="007223D1" w:rsidRPr="00D335DA" w:rsidRDefault="007223D1" w:rsidP="00D335DA">
      <w:pPr>
        <w:pStyle w:val="ListParagraph"/>
        <w:numPr>
          <w:ilvl w:val="0"/>
          <w:numId w:val="1"/>
        </w:numPr>
        <w:autoSpaceDE w:val="0"/>
        <w:autoSpaceDN w:val="0"/>
        <w:adjustRightInd w:val="0"/>
        <w:rPr>
          <w:rFonts w:ascii="Arial" w:hAnsi="Arial" w:cs="Arial"/>
        </w:rPr>
      </w:pPr>
      <w:r w:rsidRPr="00D335DA">
        <w:rPr>
          <w:rFonts w:ascii="Arial" w:hAnsi="Arial" w:cs="Arial"/>
        </w:rPr>
        <w:t>willing to accept that markets can have a prolonged (2-4 year) timeline to fully recover</w:t>
      </w:r>
    </w:p>
    <w:p w:rsidR="007223D1" w:rsidRPr="00D335DA" w:rsidRDefault="007223D1" w:rsidP="00D335DA">
      <w:pPr>
        <w:pStyle w:val="ListParagraph"/>
        <w:numPr>
          <w:ilvl w:val="0"/>
          <w:numId w:val="1"/>
        </w:numPr>
        <w:autoSpaceDE w:val="0"/>
        <w:autoSpaceDN w:val="0"/>
        <w:adjustRightInd w:val="0"/>
        <w:rPr>
          <w:rFonts w:ascii="Arial" w:hAnsi="Arial" w:cs="Arial"/>
        </w:rPr>
      </w:pPr>
      <w:r w:rsidRPr="00D335DA">
        <w:rPr>
          <w:rFonts w:ascii="Arial" w:hAnsi="Arial" w:cs="Arial"/>
        </w:rPr>
        <w:t>does not foresee or anticipate a need for liquidity in the event of an emergency over 1-3 yrs.</w:t>
      </w:r>
    </w:p>
    <w:p w:rsidR="007223D1" w:rsidRPr="00D335DA" w:rsidRDefault="007223D1" w:rsidP="00D335DA">
      <w:pPr>
        <w:pStyle w:val="ListParagraph"/>
        <w:numPr>
          <w:ilvl w:val="0"/>
          <w:numId w:val="1"/>
        </w:numPr>
        <w:autoSpaceDE w:val="0"/>
        <w:autoSpaceDN w:val="0"/>
        <w:adjustRightInd w:val="0"/>
        <w:rPr>
          <w:rFonts w:ascii="Arial" w:hAnsi="Arial" w:cs="Arial"/>
        </w:rPr>
      </w:pPr>
      <w:r w:rsidRPr="00D335DA">
        <w:rPr>
          <w:rFonts w:ascii="Arial" w:hAnsi="Arial" w:cs="Arial"/>
        </w:rPr>
        <w:t>can stomach a 10% loss without materially impacting objectives, however a 25% reduction may</w:t>
      </w:r>
      <w:r>
        <w:rPr>
          <w:rFonts w:ascii="Arial" w:hAnsi="Arial" w:cs="Arial"/>
        </w:rPr>
        <w:t xml:space="preserve"> </w:t>
      </w:r>
      <w:r w:rsidRPr="00D335DA">
        <w:rPr>
          <w:rFonts w:ascii="Arial" w:hAnsi="Arial" w:cs="Arial"/>
        </w:rPr>
        <w:t>moderately impact some need or objectives.</w:t>
      </w:r>
    </w:p>
    <w:p w:rsidR="007223D1" w:rsidRDefault="007223D1" w:rsidP="00D335DA">
      <w:pPr>
        <w:pStyle w:val="ListParagraph"/>
        <w:numPr>
          <w:ilvl w:val="0"/>
          <w:numId w:val="1"/>
        </w:numPr>
        <w:autoSpaceDE w:val="0"/>
        <w:autoSpaceDN w:val="0"/>
        <w:adjustRightInd w:val="0"/>
        <w:rPr>
          <w:rFonts w:ascii="Arial" w:hAnsi="Arial" w:cs="Arial"/>
        </w:rPr>
      </w:pPr>
      <w:r w:rsidRPr="00D335DA">
        <w:rPr>
          <w:rFonts w:ascii="Arial" w:hAnsi="Arial" w:cs="Arial"/>
        </w:rPr>
        <w:t>Ideally the portfolio carries a moderate measure of volatility within a balanced approach when</w:t>
      </w:r>
      <w:r>
        <w:rPr>
          <w:rFonts w:ascii="Arial" w:hAnsi="Arial" w:cs="Arial"/>
        </w:rPr>
        <w:t xml:space="preserve"> c</w:t>
      </w:r>
      <w:r w:rsidRPr="00D335DA">
        <w:rPr>
          <w:rFonts w:ascii="Arial" w:hAnsi="Arial" w:cs="Arial"/>
        </w:rPr>
        <w:t>onsidering risk and returns.</w:t>
      </w:r>
    </w:p>
    <w:p w:rsidR="002C2685" w:rsidRPr="007223D1" w:rsidRDefault="002C2685" w:rsidP="00E85677">
      <w:pPr>
        <w:pStyle w:val="NormalWeb"/>
        <w:spacing w:before="0" w:beforeAutospacing="0" w:after="0" w:afterAutospacing="0"/>
        <w:rPr>
          <w:rFonts w:ascii="Arial" w:hAnsi="Arial" w:cs="Arial"/>
        </w:rPr>
      </w:pPr>
    </w:p>
    <w:p w:rsidR="00972253" w:rsidRPr="00736961" w:rsidRDefault="00E51EED" w:rsidP="00736961">
      <w:pPr>
        <w:pStyle w:val="NormalWeb"/>
        <w:rPr>
          <w:rFonts w:ascii="Arial" w:hAnsi="Arial" w:cs="Arial"/>
          <w:b/>
          <w:caps/>
        </w:rPr>
      </w:pPr>
      <w:r>
        <w:rPr>
          <w:rFonts w:ascii="Arial" w:hAnsi="Arial" w:cs="Arial"/>
          <w:b/>
          <w:caps/>
        </w:rPr>
        <w:t>G. Investment Guidelines</w:t>
      </w:r>
    </w:p>
    <w:p w:rsidR="00972253" w:rsidRPr="00736961" w:rsidRDefault="00972253" w:rsidP="00736961">
      <w:pPr>
        <w:pStyle w:val="NormalWeb"/>
        <w:rPr>
          <w:rFonts w:ascii="Arial" w:hAnsi="Arial" w:cs="Arial"/>
        </w:rPr>
      </w:pPr>
      <w:r w:rsidRPr="00736961">
        <w:rPr>
          <w:rFonts w:ascii="Arial" w:hAnsi="Arial" w:cs="Arial"/>
        </w:rPr>
        <w:t xml:space="preserve">It is not anticipated that trading for short-term gains nor the buying and/or selling of options will occur in either of these funds. See Section </w:t>
      </w:r>
      <w:r w:rsidR="00B93A34" w:rsidRPr="00736961">
        <w:rPr>
          <w:rFonts w:ascii="Arial" w:hAnsi="Arial" w:cs="Arial"/>
        </w:rPr>
        <w:t>H</w:t>
      </w:r>
      <w:r w:rsidRPr="00736961">
        <w:rPr>
          <w:rFonts w:ascii="Arial" w:hAnsi="Arial" w:cs="Arial"/>
        </w:rPr>
        <w:t xml:space="preserve"> for further detail. </w:t>
      </w:r>
    </w:p>
    <w:p w:rsidR="00972253" w:rsidRPr="00736961" w:rsidRDefault="00972253" w:rsidP="00E85677">
      <w:pPr>
        <w:pStyle w:val="NormalWeb"/>
        <w:spacing w:before="0" w:beforeAutospacing="0" w:after="0" w:afterAutospacing="0"/>
        <w:rPr>
          <w:rFonts w:ascii="Arial" w:hAnsi="Arial" w:cs="Arial"/>
        </w:rPr>
      </w:pPr>
      <w:r w:rsidRPr="00736961">
        <w:rPr>
          <w:rFonts w:ascii="Arial" w:hAnsi="Arial" w:cs="Arial"/>
        </w:rPr>
        <w:t xml:space="preserve">1. In keeping with the liquidity needs and investment goals, it would appear that </w:t>
      </w:r>
      <w:r w:rsidR="00C750CF">
        <w:rPr>
          <w:rFonts w:ascii="Arial" w:hAnsi="Arial" w:cs="Arial"/>
        </w:rPr>
        <w:t xml:space="preserve">a portion of the </w:t>
      </w:r>
      <w:r w:rsidRPr="00736961">
        <w:rPr>
          <w:rFonts w:ascii="Arial" w:hAnsi="Arial" w:cs="Arial"/>
        </w:rPr>
        <w:t xml:space="preserve">investments of these funds </w:t>
      </w:r>
      <w:r w:rsidR="007223D1">
        <w:rPr>
          <w:rFonts w:ascii="Arial" w:hAnsi="Arial" w:cs="Arial"/>
        </w:rPr>
        <w:t>do not require</w:t>
      </w:r>
      <w:r w:rsidRPr="00736961">
        <w:rPr>
          <w:rFonts w:ascii="Arial" w:hAnsi="Arial" w:cs="Arial"/>
        </w:rPr>
        <w:t xml:space="preserve"> a specific maturity coinciding to the liquidity needs. Examples might be government notes, certificates of deposit or </w:t>
      </w:r>
      <w:r w:rsidR="008A5015" w:rsidRPr="00736961">
        <w:rPr>
          <w:rFonts w:ascii="Arial" w:hAnsi="Arial" w:cs="Arial"/>
        </w:rPr>
        <w:t>high-quality</w:t>
      </w:r>
      <w:r w:rsidRPr="00736961">
        <w:rPr>
          <w:rFonts w:ascii="Arial" w:hAnsi="Arial" w:cs="Arial"/>
        </w:rPr>
        <w:t xml:space="preserve"> corporate commercial paper. Investments should not be subject to short term market fluctuations. </w:t>
      </w:r>
    </w:p>
    <w:p w:rsidR="00972253" w:rsidRDefault="00972253" w:rsidP="003D2C1D">
      <w:pPr>
        <w:pStyle w:val="NormalWeb"/>
        <w:rPr>
          <w:rFonts w:ascii="Arial" w:hAnsi="Arial" w:cs="Arial"/>
        </w:rPr>
      </w:pPr>
      <w:r w:rsidRPr="00736961">
        <w:rPr>
          <w:rFonts w:ascii="Arial" w:hAnsi="Arial" w:cs="Arial"/>
        </w:rPr>
        <w:lastRenderedPageBreak/>
        <w:t xml:space="preserve">2. </w:t>
      </w:r>
      <w:r w:rsidR="003D2C1D" w:rsidRPr="003D2C1D">
        <w:rPr>
          <w:rFonts w:ascii="Arial" w:hAnsi="Arial" w:cs="Arial"/>
        </w:rPr>
        <w:t xml:space="preserve">Investment guidelines for this fund will be </w:t>
      </w:r>
      <w:r w:rsidR="004D37C7">
        <w:rPr>
          <w:rFonts w:ascii="Arial" w:hAnsi="Arial" w:cs="Arial"/>
        </w:rPr>
        <w:t xml:space="preserve">generally </w:t>
      </w:r>
      <w:r w:rsidR="003D2C1D" w:rsidRPr="003D2C1D">
        <w:rPr>
          <w:rFonts w:ascii="Arial" w:hAnsi="Arial" w:cs="Arial"/>
        </w:rPr>
        <w:t xml:space="preserve">to invest in common stock of investment grade companies and </w:t>
      </w:r>
      <w:r w:rsidR="00D335DA" w:rsidRPr="003D2C1D">
        <w:rPr>
          <w:rFonts w:ascii="Arial" w:hAnsi="Arial" w:cs="Arial"/>
        </w:rPr>
        <w:t>high-quality</w:t>
      </w:r>
      <w:r w:rsidR="003D2C1D" w:rsidRPr="003D2C1D">
        <w:rPr>
          <w:rFonts w:ascii="Arial" w:hAnsi="Arial" w:cs="Arial"/>
        </w:rPr>
        <w:t xml:space="preserve"> bonds</w:t>
      </w:r>
      <w:r w:rsidR="00501D8E">
        <w:rPr>
          <w:rFonts w:ascii="Arial" w:hAnsi="Arial" w:cs="Arial"/>
        </w:rPr>
        <w:t xml:space="preserve"> of investment grade companies</w:t>
      </w:r>
      <w:r w:rsidR="004D37C7">
        <w:rPr>
          <w:rFonts w:ascii="Arial" w:hAnsi="Arial" w:cs="Arial"/>
        </w:rPr>
        <w:t xml:space="preserve"> at the </w:t>
      </w:r>
      <w:r w:rsidR="008A5015">
        <w:rPr>
          <w:rFonts w:ascii="Arial" w:hAnsi="Arial" w:cs="Arial"/>
        </w:rPr>
        <w:t>discretion</w:t>
      </w:r>
      <w:r w:rsidR="004D37C7">
        <w:rPr>
          <w:rFonts w:ascii="Arial" w:hAnsi="Arial" w:cs="Arial"/>
        </w:rPr>
        <w:t xml:space="preserve"> of the Investment Management with</w:t>
      </w:r>
      <w:r w:rsidR="001E268C">
        <w:rPr>
          <w:rFonts w:ascii="Arial" w:hAnsi="Arial" w:cs="Arial"/>
        </w:rPr>
        <w:t>in</w:t>
      </w:r>
      <w:r w:rsidR="004D37C7">
        <w:rPr>
          <w:rFonts w:ascii="Arial" w:hAnsi="Arial" w:cs="Arial"/>
        </w:rPr>
        <w:t xml:space="preserve"> the guidelines of the state</w:t>
      </w:r>
      <w:r w:rsidR="00470F1C">
        <w:rPr>
          <w:rFonts w:ascii="Arial" w:hAnsi="Arial" w:cs="Arial"/>
        </w:rPr>
        <w:t>d</w:t>
      </w:r>
      <w:r w:rsidR="004D37C7">
        <w:rPr>
          <w:rFonts w:ascii="Arial" w:hAnsi="Arial" w:cs="Arial"/>
        </w:rPr>
        <w:t xml:space="preserve"> risk </w:t>
      </w:r>
      <w:r w:rsidR="00D335DA">
        <w:rPr>
          <w:rFonts w:ascii="Arial" w:hAnsi="Arial" w:cs="Arial"/>
        </w:rPr>
        <w:t xml:space="preserve">portfolio, </w:t>
      </w:r>
      <w:proofErr w:type="gramStart"/>
      <w:r w:rsidR="00D335DA" w:rsidRPr="0045499F">
        <w:rPr>
          <w:rFonts w:ascii="Arial" w:hAnsi="Arial" w:cs="Arial"/>
        </w:rPr>
        <w:t>Such</w:t>
      </w:r>
      <w:proofErr w:type="gramEnd"/>
      <w:r w:rsidRPr="0045499F">
        <w:rPr>
          <w:rFonts w:ascii="Arial" w:hAnsi="Arial" w:cs="Arial"/>
        </w:rPr>
        <w:t xml:space="preserve"> companies might be selected from any category of companies i.e. industrials, financial institutions, utilities, transportation, etc. Mutual funds </w:t>
      </w:r>
      <w:r w:rsidR="00501D8E">
        <w:rPr>
          <w:rFonts w:ascii="Arial" w:hAnsi="Arial" w:cs="Arial"/>
        </w:rPr>
        <w:t>and E</w:t>
      </w:r>
      <w:r w:rsidR="004D37C7">
        <w:rPr>
          <w:rFonts w:ascii="Arial" w:hAnsi="Arial" w:cs="Arial"/>
        </w:rPr>
        <w:t>TF</w:t>
      </w:r>
      <w:r w:rsidR="00501D8E">
        <w:rPr>
          <w:rFonts w:ascii="Arial" w:hAnsi="Arial" w:cs="Arial"/>
        </w:rPr>
        <w:t xml:space="preserve">s </w:t>
      </w:r>
      <w:r w:rsidRPr="0045499F">
        <w:rPr>
          <w:rFonts w:ascii="Arial" w:hAnsi="Arial" w:cs="Arial"/>
        </w:rPr>
        <w:t>with investment goals coinciding</w:t>
      </w:r>
      <w:r w:rsidRPr="00736961">
        <w:rPr>
          <w:rFonts w:ascii="Arial" w:hAnsi="Arial" w:cs="Arial"/>
        </w:rPr>
        <w:t xml:space="preserve"> to those objectives established for this </w:t>
      </w:r>
      <w:r w:rsidR="00D335DA" w:rsidRPr="00736961">
        <w:rPr>
          <w:rFonts w:ascii="Arial" w:hAnsi="Arial" w:cs="Arial"/>
        </w:rPr>
        <w:t>account an</w:t>
      </w:r>
      <w:r w:rsidRPr="00736961">
        <w:rPr>
          <w:rFonts w:ascii="Arial" w:hAnsi="Arial" w:cs="Arial"/>
        </w:rPr>
        <w:t xml:space="preserve"> appropriate </w:t>
      </w:r>
      <w:r w:rsidRPr="0045499F">
        <w:rPr>
          <w:rFonts w:ascii="Arial" w:hAnsi="Arial" w:cs="Arial"/>
        </w:rPr>
        <w:t>investment</w:t>
      </w:r>
      <w:r w:rsidR="00221BD9">
        <w:rPr>
          <w:rFonts w:ascii="Arial" w:hAnsi="Arial" w:cs="Arial"/>
        </w:rPr>
        <w:t>, it is understood that these Mutual Funds and ETFs may include securities that may not meet the criteria above...</w:t>
      </w:r>
      <w:r w:rsidRPr="0045499F">
        <w:rPr>
          <w:rFonts w:ascii="Arial" w:hAnsi="Arial" w:cs="Arial"/>
        </w:rPr>
        <w:t xml:space="preserve"> </w:t>
      </w:r>
      <w:r w:rsidRPr="0045499F">
        <w:rPr>
          <w:rFonts w:ascii="Arial" w:hAnsi="Arial" w:cs="Arial"/>
          <w:bCs/>
        </w:rPr>
        <w:t xml:space="preserve">Investments </w:t>
      </w:r>
      <w:r w:rsidR="0045499F" w:rsidRPr="0045499F">
        <w:rPr>
          <w:rFonts w:ascii="Arial" w:hAnsi="Arial" w:cs="Arial"/>
          <w:bCs/>
        </w:rPr>
        <w:t xml:space="preserve">can be </w:t>
      </w:r>
      <w:r w:rsidRPr="0045499F">
        <w:rPr>
          <w:rFonts w:ascii="Arial" w:hAnsi="Arial" w:cs="Arial"/>
          <w:bCs/>
        </w:rPr>
        <w:t>made in US based companies</w:t>
      </w:r>
      <w:r w:rsidR="0045499F" w:rsidRPr="0045499F">
        <w:rPr>
          <w:rFonts w:ascii="Arial" w:hAnsi="Arial" w:cs="Arial"/>
          <w:bCs/>
        </w:rPr>
        <w:t xml:space="preserve"> and global or international companies</w:t>
      </w:r>
      <w:r w:rsidRPr="0045499F">
        <w:rPr>
          <w:rFonts w:ascii="Arial" w:hAnsi="Arial" w:cs="Arial"/>
          <w:bCs/>
        </w:rPr>
        <w:t>.</w:t>
      </w:r>
      <w:r w:rsidRPr="00736961">
        <w:rPr>
          <w:rFonts w:ascii="Arial" w:hAnsi="Arial" w:cs="Arial"/>
          <w:b/>
          <w:bCs/>
        </w:rPr>
        <w:t xml:space="preserve"> </w:t>
      </w:r>
      <w:r w:rsidR="00AB2FD1" w:rsidRPr="00AB2FD1">
        <w:rPr>
          <w:rFonts w:ascii="Arial" w:hAnsi="Arial" w:cs="Arial"/>
          <w:bCs/>
        </w:rPr>
        <w:t>P</w:t>
      </w:r>
      <w:r w:rsidRPr="00736961">
        <w:rPr>
          <w:rFonts w:ascii="Arial" w:hAnsi="Arial" w:cs="Arial"/>
        </w:rPr>
        <w:t>referred stocks would also be appropriate investments for this account.</w:t>
      </w:r>
    </w:p>
    <w:p w:rsidR="007223D1" w:rsidRPr="00736961" w:rsidRDefault="007223D1" w:rsidP="003D2C1D">
      <w:pPr>
        <w:pStyle w:val="NormalWeb"/>
        <w:rPr>
          <w:rFonts w:ascii="Arial" w:hAnsi="Arial" w:cs="Arial"/>
        </w:rPr>
      </w:pPr>
      <w:r>
        <w:rPr>
          <w:rFonts w:ascii="Arial" w:hAnsi="Arial" w:cs="Arial"/>
        </w:rPr>
        <w:t>3.  During periods of extremely low interest rates in the bond market, dividend bearing equity securities, either equities of preferred stocks or funds can be utilized in lieu of bonds to pr</w:t>
      </w:r>
      <w:r w:rsidR="00501D8E">
        <w:rPr>
          <w:rFonts w:ascii="Arial" w:hAnsi="Arial" w:cs="Arial"/>
        </w:rPr>
        <w:t xml:space="preserve">ovide current income.   However, </w:t>
      </w:r>
      <w:r>
        <w:rPr>
          <w:rFonts w:ascii="Arial" w:hAnsi="Arial" w:cs="Arial"/>
        </w:rPr>
        <w:t>such holdings sh</w:t>
      </w:r>
      <w:r w:rsidR="00501D8E">
        <w:rPr>
          <w:rFonts w:ascii="Arial" w:hAnsi="Arial" w:cs="Arial"/>
        </w:rPr>
        <w:t>all</w:t>
      </w:r>
      <w:r>
        <w:rPr>
          <w:rFonts w:ascii="Arial" w:hAnsi="Arial" w:cs="Arial"/>
        </w:rPr>
        <w:t xml:space="preserve"> meet </w:t>
      </w:r>
      <w:r w:rsidR="008A5015">
        <w:rPr>
          <w:rFonts w:ascii="Arial" w:hAnsi="Arial" w:cs="Arial"/>
        </w:rPr>
        <w:t>the criteria</w:t>
      </w:r>
      <w:r>
        <w:rPr>
          <w:rFonts w:ascii="Arial" w:hAnsi="Arial" w:cs="Arial"/>
        </w:rPr>
        <w:t xml:space="preserve"> as defined in this Policy Statement. </w:t>
      </w:r>
    </w:p>
    <w:p w:rsidR="00972253" w:rsidRPr="00736961" w:rsidRDefault="00972253" w:rsidP="00736961">
      <w:pPr>
        <w:pStyle w:val="NormalWeb"/>
        <w:rPr>
          <w:rFonts w:ascii="Arial" w:hAnsi="Arial" w:cs="Arial"/>
          <w:b/>
          <w:caps/>
        </w:rPr>
      </w:pPr>
      <w:r w:rsidRPr="00736961">
        <w:rPr>
          <w:rFonts w:ascii="Arial" w:hAnsi="Arial" w:cs="Arial"/>
          <w:b/>
          <w:caps/>
        </w:rPr>
        <w:t>H. Permitted Investments, Prohibited Assets, Benchmarks and Limitations</w:t>
      </w:r>
    </w:p>
    <w:p w:rsidR="00972253" w:rsidRPr="001E4D74" w:rsidRDefault="00972253" w:rsidP="00736961">
      <w:pPr>
        <w:pStyle w:val="NormalWeb"/>
        <w:widowControl w:val="0"/>
        <w:rPr>
          <w:rFonts w:ascii="Arial" w:hAnsi="Arial" w:cs="Arial"/>
          <w:b/>
          <w:u w:val="single"/>
        </w:rPr>
      </w:pPr>
      <w:r w:rsidRPr="001E4D74">
        <w:rPr>
          <w:rFonts w:ascii="Arial" w:hAnsi="Arial" w:cs="Arial"/>
          <w:b/>
          <w:u w:val="single"/>
        </w:rPr>
        <w:t>Permitted Investments</w:t>
      </w:r>
    </w:p>
    <w:p w:rsidR="00972253" w:rsidRPr="00736961" w:rsidRDefault="00972253" w:rsidP="00E85677">
      <w:pPr>
        <w:pStyle w:val="NormalWeb"/>
        <w:widowControl w:val="0"/>
        <w:spacing w:before="0" w:beforeAutospacing="0" w:after="0" w:afterAutospacing="0"/>
        <w:rPr>
          <w:rFonts w:ascii="Arial" w:hAnsi="Arial" w:cs="Arial"/>
        </w:rPr>
      </w:pPr>
      <w:r w:rsidRPr="00736961">
        <w:rPr>
          <w:rFonts w:ascii="Arial" w:hAnsi="Arial" w:cs="Arial"/>
        </w:rPr>
        <w:t>Cash Equivalents</w:t>
      </w:r>
    </w:p>
    <w:p w:rsidR="00972253" w:rsidRPr="00736961" w:rsidRDefault="00972253" w:rsidP="00E85677">
      <w:pPr>
        <w:pStyle w:val="NormalWeb"/>
        <w:widowControl w:val="0"/>
        <w:spacing w:before="0" w:beforeAutospacing="0" w:after="0" w:afterAutospacing="0"/>
        <w:rPr>
          <w:rFonts w:ascii="Arial" w:hAnsi="Arial" w:cs="Arial"/>
        </w:rPr>
      </w:pPr>
      <w:r w:rsidRPr="00736961">
        <w:rPr>
          <w:rFonts w:ascii="Arial" w:hAnsi="Arial" w:cs="Arial"/>
        </w:rPr>
        <w:t>Fixed Income</w:t>
      </w:r>
    </w:p>
    <w:p w:rsidR="00972253" w:rsidRPr="00736961" w:rsidRDefault="005D3650" w:rsidP="00E85677">
      <w:pPr>
        <w:pStyle w:val="NormalWeb"/>
        <w:widowControl w:val="0"/>
        <w:spacing w:before="0" w:beforeAutospacing="0" w:after="0" w:afterAutospacing="0"/>
        <w:rPr>
          <w:rFonts w:ascii="Arial" w:hAnsi="Arial" w:cs="Arial"/>
        </w:rPr>
      </w:pPr>
      <w:r w:rsidRPr="00736961">
        <w:rPr>
          <w:rFonts w:ascii="Arial" w:hAnsi="Arial" w:cs="Arial"/>
        </w:rPr>
        <w:t>Equities</w:t>
      </w:r>
      <w:r w:rsidR="0045499F">
        <w:rPr>
          <w:rFonts w:ascii="Arial" w:hAnsi="Arial" w:cs="Arial"/>
        </w:rPr>
        <w:t xml:space="preserve"> (which includes REITs)</w:t>
      </w:r>
    </w:p>
    <w:p w:rsidR="00972253" w:rsidRPr="00736961" w:rsidRDefault="00972253" w:rsidP="00E85677">
      <w:pPr>
        <w:pStyle w:val="NormalWeb"/>
        <w:widowControl w:val="0"/>
        <w:spacing w:before="0" w:beforeAutospacing="0" w:after="0" w:afterAutospacing="0"/>
        <w:rPr>
          <w:rFonts w:ascii="Arial" w:hAnsi="Arial" w:cs="Arial"/>
        </w:rPr>
      </w:pPr>
      <w:r w:rsidRPr="00736961">
        <w:rPr>
          <w:rFonts w:ascii="Arial" w:hAnsi="Arial" w:cs="Arial"/>
        </w:rPr>
        <w:t>Mutual Funds</w:t>
      </w:r>
      <w:r w:rsidR="002B07DA">
        <w:rPr>
          <w:rFonts w:ascii="Arial" w:hAnsi="Arial" w:cs="Arial"/>
        </w:rPr>
        <w:t>, Exchange Traded Funds (</w:t>
      </w:r>
      <w:r w:rsidRPr="00736961">
        <w:rPr>
          <w:rFonts w:ascii="Arial" w:hAnsi="Arial" w:cs="Arial"/>
        </w:rPr>
        <w:t>ETFs</w:t>
      </w:r>
      <w:r w:rsidR="002B07DA">
        <w:rPr>
          <w:rFonts w:ascii="Arial" w:hAnsi="Arial" w:cs="Arial"/>
        </w:rPr>
        <w:t>) and Exchange Traded Notes (ETNs)</w:t>
      </w:r>
    </w:p>
    <w:p w:rsidR="002C2685" w:rsidRDefault="002C2685" w:rsidP="00E85677">
      <w:pPr>
        <w:pStyle w:val="NormalWeb"/>
        <w:widowControl w:val="0"/>
        <w:spacing w:before="0" w:beforeAutospacing="0" w:after="0" w:afterAutospacing="0"/>
        <w:rPr>
          <w:rFonts w:ascii="Arial" w:hAnsi="Arial" w:cs="Arial"/>
        </w:rPr>
      </w:pPr>
      <w:r>
        <w:rPr>
          <w:rFonts w:ascii="Arial" w:hAnsi="Arial" w:cs="Arial"/>
        </w:rPr>
        <w:t>Covered Calls/Puts</w:t>
      </w:r>
    </w:p>
    <w:p w:rsidR="00972253" w:rsidRPr="00736961" w:rsidRDefault="00972253" w:rsidP="00E85677">
      <w:pPr>
        <w:pStyle w:val="NormalWeb"/>
        <w:widowControl w:val="0"/>
        <w:spacing w:before="0" w:beforeAutospacing="0" w:after="0" w:afterAutospacing="0"/>
        <w:rPr>
          <w:rFonts w:ascii="Arial" w:hAnsi="Arial" w:cs="Arial"/>
        </w:rPr>
      </w:pPr>
      <w:r w:rsidRPr="00736961">
        <w:rPr>
          <w:rFonts w:ascii="Arial" w:hAnsi="Arial" w:cs="Arial"/>
        </w:rPr>
        <w:t>Other </w:t>
      </w:r>
    </w:p>
    <w:p w:rsidR="00972253" w:rsidRPr="001E4D74" w:rsidRDefault="00972253" w:rsidP="00736961">
      <w:pPr>
        <w:pStyle w:val="NormalWeb"/>
        <w:widowControl w:val="0"/>
        <w:rPr>
          <w:rFonts w:ascii="Arial" w:hAnsi="Arial" w:cs="Arial"/>
          <w:b/>
          <w:u w:val="single"/>
        </w:rPr>
      </w:pPr>
      <w:r w:rsidRPr="001E4D74">
        <w:rPr>
          <w:rFonts w:ascii="Arial" w:hAnsi="Arial" w:cs="Arial"/>
          <w:b/>
          <w:u w:val="single"/>
        </w:rPr>
        <w:t xml:space="preserve">Prohibited </w:t>
      </w:r>
      <w:r w:rsidR="0045499F">
        <w:rPr>
          <w:rFonts w:ascii="Arial" w:hAnsi="Arial" w:cs="Arial"/>
          <w:b/>
          <w:u w:val="single"/>
        </w:rPr>
        <w:t>Purchases</w:t>
      </w:r>
    </w:p>
    <w:p w:rsidR="00972253" w:rsidRPr="00736961" w:rsidRDefault="00972253" w:rsidP="00E85677">
      <w:pPr>
        <w:pStyle w:val="NormalWeb"/>
        <w:widowControl w:val="0"/>
        <w:spacing w:before="0" w:beforeAutospacing="0" w:after="0" w:afterAutospacing="0"/>
        <w:rPr>
          <w:rFonts w:ascii="Arial" w:hAnsi="Arial" w:cs="Arial"/>
        </w:rPr>
      </w:pPr>
      <w:r w:rsidRPr="00736961">
        <w:rPr>
          <w:rFonts w:ascii="Arial" w:hAnsi="Arial" w:cs="Arial"/>
        </w:rPr>
        <w:t>Commodities and Future Contacts</w:t>
      </w:r>
    </w:p>
    <w:p w:rsidR="00972253" w:rsidRPr="00736961" w:rsidRDefault="00972253" w:rsidP="00E85677">
      <w:pPr>
        <w:pStyle w:val="NormalWeb"/>
        <w:widowControl w:val="0"/>
        <w:spacing w:before="0" w:beforeAutospacing="0" w:after="0" w:afterAutospacing="0"/>
        <w:rPr>
          <w:rFonts w:ascii="Arial" w:hAnsi="Arial" w:cs="Arial"/>
        </w:rPr>
      </w:pPr>
      <w:r w:rsidRPr="00736961">
        <w:rPr>
          <w:rFonts w:ascii="Arial" w:hAnsi="Arial" w:cs="Arial"/>
        </w:rPr>
        <w:t>Real Estate</w:t>
      </w:r>
      <w:r w:rsidR="0045499F">
        <w:rPr>
          <w:rFonts w:ascii="Arial" w:hAnsi="Arial" w:cs="Arial"/>
        </w:rPr>
        <w:t xml:space="preserve"> Property</w:t>
      </w:r>
    </w:p>
    <w:p w:rsidR="005D3650" w:rsidRPr="00736961" w:rsidRDefault="005D3650" w:rsidP="00E85677">
      <w:pPr>
        <w:pStyle w:val="NormalWeb"/>
        <w:widowControl w:val="0"/>
        <w:spacing w:before="0" w:beforeAutospacing="0" w:after="0" w:afterAutospacing="0"/>
        <w:rPr>
          <w:rFonts w:ascii="Arial" w:hAnsi="Arial" w:cs="Arial"/>
        </w:rPr>
      </w:pPr>
      <w:r w:rsidRPr="00736961">
        <w:rPr>
          <w:rFonts w:ascii="Arial" w:hAnsi="Arial" w:cs="Arial"/>
        </w:rPr>
        <w:t xml:space="preserve">Artwork </w:t>
      </w:r>
    </w:p>
    <w:p w:rsidR="005D3650" w:rsidRPr="00736961" w:rsidRDefault="005D3650" w:rsidP="00E85677">
      <w:pPr>
        <w:pStyle w:val="NormalWeb"/>
        <w:widowControl w:val="0"/>
        <w:spacing w:before="0" w:beforeAutospacing="0" w:after="0" w:afterAutospacing="0"/>
        <w:rPr>
          <w:rFonts w:ascii="Arial" w:hAnsi="Arial" w:cs="Arial"/>
        </w:rPr>
      </w:pPr>
      <w:r w:rsidRPr="00736961">
        <w:rPr>
          <w:rFonts w:ascii="Arial" w:hAnsi="Arial" w:cs="Arial"/>
        </w:rPr>
        <w:t>Collectibles</w:t>
      </w:r>
    </w:p>
    <w:p w:rsidR="00972253" w:rsidRPr="00736961" w:rsidRDefault="00972253" w:rsidP="00E85677">
      <w:pPr>
        <w:pStyle w:val="NormalWeb"/>
        <w:widowControl w:val="0"/>
        <w:spacing w:before="0" w:beforeAutospacing="0" w:after="0" w:afterAutospacing="0"/>
        <w:rPr>
          <w:rFonts w:ascii="Arial" w:hAnsi="Arial" w:cs="Arial"/>
        </w:rPr>
      </w:pPr>
      <w:r w:rsidRPr="00736961">
        <w:rPr>
          <w:rFonts w:ascii="Arial" w:hAnsi="Arial" w:cs="Arial"/>
        </w:rPr>
        <w:t>Securities which may expose the assets to a loss in excess of the amount invested in such security</w:t>
      </w:r>
    </w:p>
    <w:p w:rsidR="00972253" w:rsidRPr="001E4D74" w:rsidRDefault="00972253" w:rsidP="00736961">
      <w:pPr>
        <w:pStyle w:val="NormalWeb"/>
        <w:widowControl w:val="0"/>
        <w:rPr>
          <w:rFonts w:ascii="Arial" w:hAnsi="Arial" w:cs="Arial"/>
          <w:b/>
          <w:u w:val="single"/>
        </w:rPr>
      </w:pPr>
      <w:r w:rsidRPr="001E4D74">
        <w:rPr>
          <w:rFonts w:ascii="Arial" w:hAnsi="Arial" w:cs="Arial"/>
          <w:b/>
          <w:u w:val="single"/>
        </w:rPr>
        <w:t>Prohibited Transactions</w:t>
      </w:r>
    </w:p>
    <w:p w:rsidR="00972253" w:rsidRPr="00736961" w:rsidRDefault="00972253" w:rsidP="00E85677">
      <w:pPr>
        <w:pStyle w:val="NormalWeb"/>
        <w:widowControl w:val="0"/>
        <w:spacing w:before="0" w:beforeAutospacing="0" w:after="0" w:afterAutospacing="0"/>
        <w:rPr>
          <w:rFonts w:ascii="Arial" w:hAnsi="Arial" w:cs="Arial"/>
        </w:rPr>
      </w:pPr>
      <w:r w:rsidRPr="00736961">
        <w:rPr>
          <w:rFonts w:ascii="Arial" w:hAnsi="Arial" w:cs="Arial"/>
        </w:rPr>
        <w:t>Short selling</w:t>
      </w:r>
    </w:p>
    <w:p w:rsidR="005D3650" w:rsidRPr="00736961" w:rsidRDefault="002B07DA" w:rsidP="00E85677">
      <w:pPr>
        <w:pStyle w:val="NormalWeb"/>
        <w:widowControl w:val="0"/>
        <w:spacing w:before="0" w:beforeAutospacing="0" w:after="0" w:afterAutospacing="0"/>
        <w:rPr>
          <w:rFonts w:ascii="Arial" w:hAnsi="Arial" w:cs="Arial"/>
        </w:rPr>
      </w:pPr>
      <w:r>
        <w:rPr>
          <w:rFonts w:ascii="Arial" w:hAnsi="Arial" w:cs="Arial"/>
        </w:rPr>
        <w:t xml:space="preserve">Naked </w:t>
      </w:r>
      <w:r w:rsidR="005D3650" w:rsidRPr="00736961">
        <w:rPr>
          <w:rFonts w:ascii="Arial" w:hAnsi="Arial" w:cs="Arial"/>
        </w:rPr>
        <w:t>Puts / Calls</w:t>
      </w:r>
    </w:p>
    <w:p w:rsidR="005D3650" w:rsidRPr="00736961" w:rsidRDefault="005D3650" w:rsidP="00E85677">
      <w:pPr>
        <w:pStyle w:val="NormalWeb"/>
        <w:widowControl w:val="0"/>
        <w:spacing w:before="0" w:beforeAutospacing="0" w:after="0" w:afterAutospacing="0"/>
        <w:rPr>
          <w:rFonts w:ascii="Arial" w:hAnsi="Arial" w:cs="Arial"/>
        </w:rPr>
      </w:pPr>
      <w:r w:rsidRPr="00736961">
        <w:rPr>
          <w:rFonts w:ascii="Arial" w:hAnsi="Arial" w:cs="Arial"/>
        </w:rPr>
        <w:t>Futures Trading</w:t>
      </w:r>
    </w:p>
    <w:p w:rsidR="00972253" w:rsidRPr="00736961" w:rsidRDefault="00972253" w:rsidP="00E85677">
      <w:pPr>
        <w:pStyle w:val="NormalWeb"/>
        <w:widowControl w:val="0"/>
        <w:spacing w:before="0" w:beforeAutospacing="0" w:after="0" w:afterAutospacing="0"/>
        <w:rPr>
          <w:rFonts w:ascii="Arial" w:hAnsi="Arial" w:cs="Arial"/>
        </w:rPr>
      </w:pPr>
      <w:r w:rsidRPr="00736961">
        <w:rPr>
          <w:rFonts w:ascii="Arial" w:hAnsi="Arial" w:cs="Arial"/>
        </w:rPr>
        <w:t>Margin transactions</w:t>
      </w:r>
    </w:p>
    <w:p w:rsidR="002B07DA" w:rsidRDefault="002B07DA" w:rsidP="00736961">
      <w:pPr>
        <w:pStyle w:val="NormalWeb"/>
        <w:widowControl w:val="0"/>
        <w:rPr>
          <w:rFonts w:ascii="Arial" w:hAnsi="Arial" w:cs="Arial"/>
          <w:b/>
          <w:u w:val="single"/>
        </w:rPr>
      </w:pPr>
    </w:p>
    <w:p w:rsidR="00972253" w:rsidRPr="001E4D74" w:rsidRDefault="00972253" w:rsidP="00736961">
      <w:pPr>
        <w:pStyle w:val="NormalWeb"/>
        <w:widowControl w:val="0"/>
        <w:rPr>
          <w:rFonts w:ascii="Arial" w:hAnsi="Arial" w:cs="Arial"/>
          <w:b/>
          <w:u w:val="single"/>
        </w:rPr>
      </w:pPr>
      <w:r w:rsidRPr="001E4D74">
        <w:rPr>
          <w:rFonts w:ascii="Arial" w:hAnsi="Arial" w:cs="Arial"/>
          <w:b/>
          <w:u w:val="single"/>
        </w:rPr>
        <w:t>Benchmarks</w:t>
      </w:r>
      <w:r w:rsidR="0045499F" w:rsidRPr="0045499F">
        <w:rPr>
          <w:rFonts w:ascii="Arial" w:hAnsi="Arial" w:cs="Arial"/>
          <w:b/>
          <w:u w:val="single"/>
        </w:rPr>
        <w:t xml:space="preserve"> </w:t>
      </w:r>
      <w:r w:rsidR="0045499F" w:rsidRPr="001E4D74">
        <w:rPr>
          <w:rFonts w:ascii="Arial" w:hAnsi="Arial" w:cs="Arial"/>
          <w:b/>
          <w:u w:val="single"/>
        </w:rPr>
        <w:t>and</w:t>
      </w:r>
      <w:r w:rsidR="0045499F">
        <w:rPr>
          <w:rFonts w:ascii="Arial" w:hAnsi="Arial" w:cs="Arial"/>
          <w:b/>
          <w:u w:val="single"/>
        </w:rPr>
        <w:t xml:space="preserve"> </w:t>
      </w:r>
      <w:r w:rsidR="0045499F" w:rsidRPr="001E4D74">
        <w:rPr>
          <w:rFonts w:ascii="Arial" w:hAnsi="Arial" w:cs="Arial"/>
          <w:b/>
          <w:u w:val="single"/>
        </w:rPr>
        <w:t xml:space="preserve">Ranges </w:t>
      </w:r>
    </w:p>
    <w:p w:rsidR="002C2685" w:rsidRDefault="002C2685" w:rsidP="00E85677">
      <w:pPr>
        <w:pStyle w:val="NormalWeb"/>
        <w:widowControl w:val="0"/>
        <w:spacing w:before="0" w:beforeAutospacing="0" w:after="0" w:afterAutospacing="0"/>
        <w:rPr>
          <w:rFonts w:ascii="Arial" w:hAnsi="Arial" w:cs="Arial"/>
        </w:rPr>
      </w:pPr>
      <w:r w:rsidRPr="00B31BA4">
        <w:rPr>
          <w:rFonts w:ascii="Arial" w:hAnsi="Arial" w:cs="Arial"/>
          <w:i/>
        </w:rPr>
        <w:t xml:space="preserve">Domestic </w:t>
      </w:r>
      <w:r w:rsidR="00972253" w:rsidRPr="00B31BA4">
        <w:rPr>
          <w:rFonts w:ascii="Arial" w:hAnsi="Arial" w:cs="Arial"/>
          <w:i/>
        </w:rPr>
        <w:t>Equity</w:t>
      </w:r>
      <w:r w:rsidR="005F5130" w:rsidRPr="00B31BA4">
        <w:rPr>
          <w:rFonts w:ascii="Arial" w:hAnsi="Arial" w:cs="Arial"/>
          <w:i/>
        </w:rPr>
        <w:t xml:space="preserve"> Large Cap</w:t>
      </w:r>
      <w:r w:rsidR="005D3650" w:rsidRPr="002B07DA">
        <w:rPr>
          <w:rFonts w:ascii="Arial" w:hAnsi="Arial" w:cs="Arial"/>
          <w:i/>
        </w:rPr>
        <w:t>:</w:t>
      </w:r>
      <w:r w:rsidR="005D3650" w:rsidRPr="00E85677">
        <w:rPr>
          <w:rFonts w:ascii="Arial" w:hAnsi="Arial" w:cs="Arial"/>
        </w:rPr>
        <w:t xml:space="preserve"> </w:t>
      </w:r>
      <w:r w:rsidR="0045499F" w:rsidRPr="00E85677">
        <w:rPr>
          <w:rFonts w:ascii="Arial" w:hAnsi="Arial" w:cs="Arial"/>
        </w:rPr>
        <w:t xml:space="preserve"> </w:t>
      </w:r>
      <w:r w:rsidR="00A31799" w:rsidRPr="00E85677">
        <w:rPr>
          <w:rFonts w:ascii="Arial" w:hAnsi="Arial" w:cs="Arial"/>
        </w:rPr>
        <w:t>S&amp;P 500</w:t>
      </w:r>
    </w:p>
    <w:p w:rsidR="005F5130" w:rsidRDefault="005F5130" w:rsidP="00E85677">
      <w:pPr>
        <w:pStyle w:val="NormalWeb"/>
        <w:widowControl w:val="0"/>
        <w:spacing w:before="0" w:beforeAutospacing="0" w:after="0" w:afterAutospacing="0"/>
        <w:rPr>
          <w:rFonts w:ascii="Arial" w:hAnsi="Arial" w:cs="Arial"/>
        </w:rPr>
      </w:pPr>
      <w:r w:rsidRPr="002B07DA">
        <w:rPr>
          <w:rFonts w:ascii="Arial" w:hAnsi="Arial" w:cs="Arial"/>
          <w:i/>
        </w:rPr>
        <w:t>Domestic Equity Small Cap:</w:t>
      </w:r>
      <w:r>
        <w:rPr>
          <w:rFonts w:ascii="Arial" w:hAnsi="Arial" w:cs="Arial"/>
        </w:rPr>
        <w:t xml:space="preserve"> Russell 2000</w:t>
      </w:r>
    </w:p>
    <w:p w:rsidR="002C2685" w:rsidRPr="00E85677" w:rsidRDefault="002C2685" w:rsidP="00E85677">
      <w:pPr>
        <w:pStyle w:val="NormalWeb"/>
        <w:widowControl w:val="0"/>
        <w:spacing w:before="0" w:beforeAutospacing="0" w:after="0" w:afterAutospacing="0"/>
        <w:rPr>
          <w:rFonts w:ascii="Arial" w:hAnsi="Arial" w:cs="Arial"/>
        </w:rPr>
      </w:pPr>
      <w:r w:rsidRPr="002B07DA">
        <w:rPr>
          <w:rFonts w:ascii="Arial" w:hAnsi="Arial" w:cs="Arial"/>
          <w:i/>
        </w:rPr>
        <w:t>International Equity</w:t>
      </w:r>
      <w:r>
        <w:rPr>
          <w:rFonts w:ascii="Arial" w:hAnsi="Arial" w:cs="Arial"/>
        </w:rPr>
        <w:t>: MSCI EAFE</w:t>
      </w:r>
    </w:p>
    <w:p w:rsidR="00972253" w:rsidRPr="004F2CC9" w:rsidRDefault="00972253" w:rsidP="00E85677">
      <w:pPr>
        <w:pStyle w:val="NormalWeb"/>
        <w:widowControl w:val="0"/>
        <w:spacing w:before="0" w:beforeAutospacing="0" w:after="0" w:afterAutospacing="0"/>
        <w:rPr>
          <w:rFonts w:ascii="Arial" w:hAnsi="Arial" w:cs="Arial"/>
        </w:rPr>
      </w:pPr>
      <w:bookmarkStart w:id="1" w:name="OLE_LINK1"/>
      <w:bookmarkStart w:id="2" w:name="OLE_LINK2"/>
      <w:r w:rsidRPr="004F2CC9">
        <w:rPr>
          <w:rFonts w:ascii="Arial" w:hAnsi="Arial" w:cs="Arial"/>
          <w:i/>
        </w:rPr>
        <w:t>Fixed Income</w:t>
      </w:r>
      <w:r w:rsidR="005D3650" w:rsidRPr="004F2CC9">
        <w:rPr>
          <w:rFonts w:ascii="Arial" w:hAnsi="Arial" w:cs="Arial"/>
          <w:i/>
        </w:rPr>
        <w:t>:</w:t>
      </w:r>
      <w:r w:rsidR="005D3650" w:rsidRPr="004F2CC9">
        <w:rPr>
          <w:rFonts w:ascii="Arial" w:hAnsi="Arial" w:cs="Arial"/>
        </w:rPr>
        <w:t xml:space="preserve"> </w:t>
      </w:r>
      <w:r w:rsidR="00687DF4" w:rsidRPr="004F2CC9">
        <w:rPr>
          <w:rFonts w:ascii="Arial" w:hAnsi="Arial" w:cs="Arial"/>
        </w:rPr>
        <w:t>Barclays Capital Aggregate Bond Index</w:t>
      </w:r>
    </w:p>
    <w:bookmarkEnd w:id="1"/>
    <w:bookmarkEnd w:id="2"/>
    <w:p w:rsidR="00972253" w:rsidRPr="00736961" w:rsidRDefault="00972253" w:rsidP="00E85677">
      <w:pPr>
        <w:pStyle w:val="NormalWeb"/>
        <w:widowControl w:val="0"/>
        <w:spacing w:before="0" w:beforeAutospacing="0" w:after="0" w:afterAutospacing="0"/>
        <w:rPr>
          <w:rFonts w:ascii="Arial" w:hAnsi="Arial" w:cs="Arial"/>
        </w:rPr>
      </w:pPr>
      <w:r w:rsidRPr="00736961">
        <w:rPr>
          <w:rFonts w:ascii="Arial" w:hAnsi="Arial" w:cs="Arial"/>
          <w:i/>
        </w:rPr>
        <w:t>Cash Limitations</w:t>
      </w:r>
      <w:r w:rsidR="005D3650" w:rsidRPr="00736961">
        <w:rPr>
          <w:rFonts w:ascii="Arial" w:hAnsi="Arial" w:cs="Arial"/>
          <w:i/>
        </w:rPr>
        <w:t>:</w:t>
      </w:r>
      <w:r w:rsidR="005D3650" w:rsidRPr="00736961">
        <w:rPr>
          <w:rFonts w:ascii="Arial" w:hAnsi="Arial" w:cs="Arial"/>
        </w:rPr>
        <w:t xml:space="preserve"> Cash is a residual of the investment process.</w:t>
      </w:r>
    </w:p>
    <w:p w:rsidR="005D3650" w:rsidRPr="00736961" w:rsidRDefault="00972253" w:rsidP="00E85677">
      <w:pPr>
        <w:pStyle w:val="NormalWeb"/>
        <w:widowControl w:val="0"/>
        <w:spacing w:before="0" w:beforeAutospacing="0" w:after="0" w:afterAutospacing="0"/>
        <w:rPr>
          <w:rFonts w:ascii="Arial" w:hAnsi="Arial" w:cs="Arial"/>
        </w:rPr>
      </w:pPr>
      <w:r w:rsidRPr="00736961">
        <w:rPr>
          <w:rFonts w:ascii="Arial" w:hAnsi="Arial" w:cs="Arial"/>
          <w:i/>
        </w:rPr>
        <w:t>Equity Limitations</w:t>
      </w:r>
      <w:r w:rsidR="005D3650" w:rsidRPr="00736961">
        <w:rPr>
          <w:rFonts w:ascii="Arial" w:hAnsi="Arial" w:cs="Arial"/>
          <w:i/>
        </w:rPr>
        <w:t xml:space="preserve">: </w:t>
      </w:r>
      <w:r w:rsidR="005D3650" w:rsidRPr="00736961">
        <w:rPr>
          <w:rFonts w:ascii="Arial" w:hAnsi="Arial" w:cs="Arial"/>
        </w:rPr>
        <w:t xml:space="preserve">Equity securities of any one </w:t>
      </w:r>
      <w:r w:rsidR="005D3650" w:rsidRPr="00E85677">
        <w:rPr>
          <w:rFonts w:ascii="Arial" w:hAnsi="Arial" w:cs="Arial"/>
        </w:rPr>
        <w:t>issuer (other than a mutual fund or an exchange traded fund) are limited to a maxi</w:t>
      </w:r>
      <w:r w:rsidR="005D3650" w:rsidRPr="00736961">
        <w:rPr>
          <w:rFonts w:ascii="Arial" w:hAnsi="Arial" w:cs="Arial"/>
        </w:rPr>
        <w:t xml:space="preserve">mum of </w:t>
      </w:r>
      <w:r w:rsidR="005F5130">
        <w:rPr>
          <w:rFonts w:ascii="Arial" w:hAnsi="Arial" w:cs="Arial"/>
        </w:rPr>
        <w:t>10</w:t>
      </w:r>
      <w:r w:rsidR="005D3650" w:rsidRPr="00736961">
        <w:rPr>
          <w:rFonts w:ascii="Arial" w:hAnsi="Arial" w:cs="Arial"/>
        </w:rPr>
        <w:t xml:space="preserve">% of the market value of the Investment Manager’s equity portfolio.  </w:t>
      </w:r>
      <w:r w:rsidR="0045499F">
        <w:rPr>
          <w:rFonts w:ascii="Arial" w:hAnsi="Arial" w:cs="Arial"/>
        </w:rPr>
        <w:t xml:space="preserve">The Board needs to approve an amount over </w:t>
      </w:r>
      <w:r w:rsidR="005F5130">
        <w:rPr>
          <w:rFonts w:ascii="Arial" w:hAnsi="Arial" w:cs="Arial"/>
        </w:rPr>
        <w:t>10</w:t>
      </w:r>
      <w:r w:rsidR="0045499F">
        <w:rPr>
          <w:rFonts w:ascii="Arial" w:hAnsi="Arial" w:cs="Arial"/>
        </w:rPr>
        <w:t xml:space="preserve">%.  </w:t>
      </w:r>
    </w:p>
    <w:p w:rsidR="004D37C7" w:rsidRDefault="00972253" w:rsidP="00E85677">
      <w:pPr>
        <w:pStyle w:val="NormalWeb"/>
        <w:widowControl w:val="0"/>
        <w:spacing w:before="0" w:beforeAutospacing="0" w:after="0" w:afterAutospacing="0"/>
        <w:rPr>
          <w:rFonts w:ascii="Arial" w:hAnsi="Arial" w:cs="Arial"/>
        </w:rPr>
      </w:pPr>
      <w:r w:rsidRPr="00736961">
        <w:rPr>
          <w:rFonts w:ascii="Arial" w:hAnsi="Arial" w:cs="Arial"/>
          <w:i/>
        </w:rPr>
        <w:t>Fixed Income Limitations</w:t>
      </w:r>
      <w:r w:rsidR="005D3650" w:rsidRPr="00736961">
        <w:rPr>
          <w:rFonts w:ascii="Arial" w:hAnsi="Arial" w:cs="Arial"/>
          <w:i/>
        </w:rPr>
        <w:t>:</w:t>
      </w:r>
      <w:r w:rsidR="005D3650" w:rsidRPr="00736961">
        <w:rPr>
          <w:rFonts w:ascii="Arial" w:hAnsi="Arial" w:cs="Arial"/>
        </w:rPr>
        <w:t xml:space="preserve">  Fund assets may only be invested in </w:t>
      </w:r>
      <w:r w:rsidR="00736961" w:rsidRPr="00736961">
        <w:rPr>
          <w:rFonts w:ascii="Arial" w:hAnsi="Arial" w:cs="Arial"/>
        </w:rPr>
        <w:t xml:space="preserve">high quality </w:t>
      </w:r>
      <w:r w:rsidR="005D3650" w:rsidRPr="00736961">
        <w:rPr>
          <w:rFonts w:ascii="Arial" w:hAnsi="Arial" w:cs="Arial"/>
        </w:rPr>
        <w:t xml:space="preserve">investment grade bonds rated </w:t>
      </w:r>
      <w:r w:rsidR="0045499F">
        <w:rPr>
          <w:rFonts w:ascii="Arial" w:hAnsi="Arial" w:cs="Arial"/>
        </w:rPr>
        <w:t>B</w:t>
      </w:r>
      <w:r w:rsidR="00083B16">
        <w:rPr>
          <w:rFonts w:ascii="Arial" w:hAnsi="Arial" w:cs="Arial"/>
        </w:rPr>
        <w:t>aa</w:t>
      </w:r>
      <w:r w:rsidR="0045499F">
        <w:rPr>
          <w:rFonts w:ascii="Arial" w:hAnsi="Arial" w:cs="Arial"/>
        </w:rPr>
        <w:t xml:space="preserve"> </w:t>
      </w:r>
      <w:r w:rsidR="005D3650" w:rsidRPr="00736961">
        <w:rPr>
          <w:rFonts w:ascii="Arial" w:hAnsi="Arial" w:cs="Arial"/>
        </w:rPr>
        <w:t>or better.</w:t>
      </w:r>
    </w:p>
    <w:p w:rsidR="00972253" w:rsidRDefault="004D37C7" w:rsidP="00E85677">
      <w:pPr>
        <w:pStyle w:val="NormalWeb"/>
        <w:widowControl w:val="0"/>
        <w:spacing w:before="0" w:beforeAutospacing="0" w:after="0" w:afterAutospacing="0"/>
        <w:rPr>
          <w:rFonts w:ascii="Arial" w:hAnsi="Arial" w:cs="Arial"/>
        </w:rPr>
      </w:pPr>
      <w:r>
        <w:rPr>
          <w:rFonts w:ascii="Arial" w:hAnsi="Arial" w:cs="Arial"/>
        </w:rPr>
        <w:t xml:space="preserve">Any deviation to these Benchmarks requires prior Investment Committee approval. </w:t>
      </w:r>
      <w:r w:rsidR="005D3650" w:rsidRPr="00736961">
        <w:rPr>
          <w:rFonts w:ascii="Arial" w:hAnsi="Arial" w:cs="Arial"/>
        </w:rPr>
        <w:t xml:space="preserve">  </w:t>
      </w:r>
    </w:p>
    <w:p w:rsidR="00736961" w:rsidRDefault="00736961" w:rsidP="00736961">
      <w:pPr>
        <w:pStyle w:val="NormalWeb"/>
        <w:widowControl w:val="0"/>
        <w:rPr>
          <w:rFonts w:ascii="Arial" w:hAnsi="Arial" w:cs="Arial"/>
        </w:rPr>
      </w:pPr>
    </w:p>
    <w:p w:rsidR="00736961" w:rsidRDefault="00736961" w:rsidP="00736961">
      <w:pPr>
        <w:pStyle w:val="NormalWeb"/>
        <w:widowControl w:val="0"/>
        <w:rPr>
          <w:rFonts w:ascii="Arial" w:hAnsi="Arial" w:cs="Arial"/>
        </w:rPr>
      </w:pPr>
    </w:p>
    <w:p w:rsidR="00D335DA" w:rsidRDefault="004F756C" w:rsidP="00736961">
      <w:pPr>
        <w:pStyle w:val="NormalWeb"/>
        <w:widowControl w:val="0"/>
        <w:rPr>
          <w:rFonts w:ascii="Arial" w:hAnsi="Arial" w:cs="Arial"/>
        </w:rPr>
      </w:pPr>
      <w:r>
        <w:rPr>
          <w:rFonts w:ascii="Arial" w:hAnsi="Arial" w:cs="Arial"/>
          <w:i/>
        </w:rPr>
        <w:t xml:space="preserve">Trustee </w:t>
      </w:r>
      <w:r w:rsidR="00A31799">
        <w:rPr>
          <w:rFonts w:ascii="Arial" w:hAnsi="Arial" w:cs="Arial"/>
          <w:i/>
        </w:rPr>
        <w:t xml:space="preserve">Investment </w:t>
      </w:r>
      <w:r w:rsidR="00736961" w:rsidRPr="00736961">
        <w:rPr>
          <w:rFonts w:ascii="Arial" w:hAnsi="Arial" w:cs="Arial"/>
          <w:i/>
        </w:rPr>
        <w:t>Committee Members</w:t>
      </w:r>
      <w:r w:rsidR="00D335DA">
        <w:rPr>
          <w:rFonts w:ascii="Arial" w:hAnsi="Arial" w:cs="Arial"/>
        </w:rPr>
        <w:t>: Rich Craig, Roxy Orr, Curt Peters, Lyle Sapp, Kathryn Schubert</w:t>
      </w:r>
    </w:p>
    <w:p w:rsidR="00D335DA" w:rsidRDefault="0046313A" w:rsidP="00736961">
      <w:pPr>
        <w:pStyle w:val="NormalWeb"/>
        <w:widowControl w:val="0"/>
        <w:rPr>
          <w:rFonts w:ascii="Arial" w:hAnsi="Arial" w:cs="Arial"/>
        </w:rPr>
      </w:pPr>
      <w:r w:rsidRPr="00A31799">
        <w:rPr>
          <w:rFonts w:ascii="Arial" w:hAnsi="Arial" w:cs="Arial"/>
          <w:i/>
        </w:rPr>
        <w:t xml:space="preserve">Foundation </w:t>
      </w:r>
      <w:r w:rsidR="001C1589">
        <w:rPr>
          <w:rFonts w:ascii="Arial" w:hAnsi="Arial" w:cs="Arial"/>
          <w:i/>
        </w:rPr>
        <w:t>Board</w:t>
      </w:r>
      <w:r w:rsidR="00A31799" w:rsidRPr="00A31799">
        <w:rPr>
          <w:rFonts w:ascii="Arial" w:hAnsi="Arial" w:cs="Arial"/>
          <w:i/>
        </w:rPr>
        <w:t xml:space="preserve"> Liaisons</w:t>
      </w:r>
      <w:r w:rsidR="004F756C">
        <w:rPr>
          <w:rFonts w:ascii="Arial" w:hAnsi="Arial" w:cs="Arial"/>
          <w:i/>
        </w:rPr>
        <w:t xml:space="preserve"> Investment Committee Members (appointed by Trustees</w:t>
      </w:r>
      <w:r w:rsidR="008A5015">
        <w:rPr>
          <w:rFonts w:ascii="Arial" w:hAnsi="Arial" w:cs="Arial"/>
          <w:i/>
        </w:rPr>
        <w:t>):</w:t>
      </w:r>
      <w:r w:rsidR="00A31799">
        <w:rPr>
          <w:rFonts w:ascii="Arial" w:hAnsi="Arial" w:cs="Arial"/>
        </w:rPr>
        <w:t xml:space="preserve"> </w:t>
      </w:r>
      <w:r w:rsidR="00D335DA">
        <w:rPr>
          <w:rFonts w:ascii="Arial" w:hAnsi="Arial" w:cs="Arial"/>
        </w:rPr>
        <w:t xml:space="preserve">David </w:t>
      </w:r>
      <w:proofErr w:type="spellStart"/>
      <w:r w:rsidR="00D335DA">
        <w:rPr>
          <w:rFonts w:ascii="Arial" w:hAnsi="Arial" w:cs="Arial"/>
        </w:rPr>
        <w:t>Laferla</w:t>
      </w:r>
      <w:proofErr w:type="spellEnd"/>
      <w:r w:rsidR="00D335DA">
        <w:rPr>
          <w:rFonts w:ascii="Arial" w:hAnsi="Arial" w:cs="Arial"/>
        </w:rPr>
        <w:t>, Herbert Hartman, Jeff Moran, Howard Epstein</w:t>
      </w:r>
    </w:p>
    <w:p w:rsidR="003222D9" w:rsidRPr="003222D9" w:rsidRDefault="003222D9" w:rsidP="00736961">
      <w:pPr>
        <w:pStyle w:val="NormalWeb"/>
        <w:widowControl w:val="0"/>
        <w:rPr>
          <w:rFonts w:ascii="Arial" w:hAnsi="Arial" w:cs="Arial"/>
          <w:i/>
        </w:rPr>
      </w:pPr>
      <w:r w:rsidRPr="003222D9">
        <w:rPr>
          <w:rFonts w:ascii="Arial" w:hAnsi="Arial" w:cs="Arial"/>
          <w:i/>
        </w:rPr>
        <w:t>Board of Trustees Approval Date:</w:t>
      </w:r>
      <w:r w:rsidR="007223D1">
        <w:rPr>
          <w:rFonts w:ascii="Arial" w:hAnsi="Arial" w:cs="Arial"/>
          <w:i/>
        </w:rPr>
        <w:t xml:space="preserve"> </w:t>
      </w:r>
      <w:r w:rsidR="00AB4877">
        <w:rPr>
          <w:rFonts w:ascii="Arial" w:hAnsi="Arial" w:cs="Arial"/>
          <w:i/>
        </w:rPr>
        <w:t>8/15/17</w:t>
      </w:r>
    </w:p>
    <w:p w:rsidR="00736961" w:rsidRPr="00736961" w:rsidRDefault="00736961" w:rsidP="00736961">
      <w:pPr>
        <w:pStyle w:val="NormalWeb"/>
        <w:widowControl w:val="0"/>
        <w:rPr>
          <w:rFonts w:ascii="Arial" w:hAnsi="Arial" w:cs="Arial"/>
        </w:rPr>
      </w:pPr>
    </w:p>
    <w:p w:rsidR="00972253" w:rsidRPr="00736961" w:rsidRDefault="00972253" w:rsidP="00972253">
      <w:pPr>
        <w:widowControl w:val="0"/>
      </w:pPr>
    </w:p>
    <w:sectPr w:rsidR="00972253" w:rsidRPr="00736961">
      <w:headerReference w:type="even" r:id="rId7"/>
      <w:headerReference w:type="default" r:id="rId8"/>
      <w:footerReference w:type="even" r:id="rId9"/>
      <w:footerReference w:type="default"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694" w:rsidRDefault="00934694">
      <w:r>
        <w:separator/>
      </w:r>
    </w:p>
  </w:endnote>
  <w:endnote w:type="continuationSeparator" w:id="0">
    <w:p w:rsidR="00934694" w:rsidRDefault="0093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F85" w:rsidRDefault="008F7F85" w:rsidP="00A771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7F85" w:rsidRDefault="008F7F85" w:rsidP="00900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F85" w:rsidRDefault="008F7F85" w:rsidP="00A771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1024">
      <w:rPr>
        <w:rStyle w:val="PageNumber"/>
        <w:noProof/>
      </w:rPr>
      <w:t>5</w:t>
    </w:r>
    <w:r>
      <w:rPr>
        <w:rStyle w:val="PageNumber"/>
      </w:rPr>
      <w:fldChar w:fldCharType="end"/>
    </w:r>
  </w:p>
  <w:p w:rsidR="008F7F85" w:rsidRDefault="008F7F85" w:rsidP="00900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694" w:rsidRDefault="00934694">
      <w:r>
        <w:separator/>
      </w:r>
    </w:p>
  </w:footnote>
  <w:footnote w:type="continuationSeparator" w:id="0">
    <w:p w:rsidR="00934694" w:rsidRDefault="00934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F85" w:rsidRDefault="008F7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F85" w:rsidRDefault="008F7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F85" w:rsidRDefault="008F7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437"/>
    <w:multiLevelType w:val="hybridMultilevel"/>
    <w:tmpl w:val="5858A7AC"/>
    <w:lvl w:ilvl="0" w:tplc="21F407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836FF"/>
    <w:multiLevelType w:val="hybridMultilevel"/>
    <w:tmpl w:val="079E7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53"/>
    <w:rsid w:val="00004E91"/>
    <w:rsid w:val="00017659"/>
    <w:rsid w:val="00026311"/>
    <w:rsid w:val="00083B16"/>
    <w:rsid w:val="00125398"/>
    <w:rsid w:val="001611D6"/>
    <w:rsid w:val="00182B33"/>
    <w:rsid w:val="0018361B"/>
    <w:rsid w:val="001A6155"/>
    <w:rsid w:val="001C1589"/>
    <w:rsid w:val="001E268C"/>
    <w:rsid w:val="001E4D74"/>
    <w:rsid w:val="00213037"/>
    <w:rsid w:val="00221BD9"/>
    <w:rsid w:val="00265AED"/>
    <w:rsid w:val="002B07DA"/>
    <w:rsid w:val="002C2685"/>
    <w:rsid w:val="003116EA"/>
    <w:rsid w:val="003222D9"/>
    <w:rsid w:val="003556EB"/>
    <w:rsid w:val="003622B0"/>
    <w:rsid w:val="003B6B39"/>
    <w:rsid w:val="003C2FB1"/>
    <w:rsid w:val="003D2C1D"/>
    <w:rsid w:val="003F484C"/>
    <w:rsid w:val="00407248"/>
    <w:rsid w:val="0043566A"/>
    <w:rsid w:val="00452F87"/>
    <w:rsid w:val="0045499F"/>
    <w:rsid w:val="0046313A"/>
    <w:rsid w:val="00470F1C"/>
    <w:rsid w:val="004D03B1"/>
    <w:rsid w:val="004D37C7"/>
    <w:rsid w:val="004F2CC9"/>
    <w:rsid w:val="004F756C"/>
    <w:rsid w:val="00501D8E"/>
    <w:rsid w:val="00505AD7"/>
    <w:rsid w:val="00527111"/>
    <w:rsid w:val="00572E86"/>
    <w:rsid w:val="005A2AA8"/>
    <w:rsid w:val="005D3650"/>
    <w:rsid w:val="005E4BE5"/>
    <w:rsid w:val="005E4DED"/>
    <w:rsid w:val="005F5130"/>
    <w:rsid w:val="006179B5"/>
    <w:rsid w:val="00645E2C"/>
    <w:rsid w:val="00664F74"/>
    <w:rsid w:val="00666702"/>
    <w:rsid w:val="0067721E"/>
    <w:rsid w:val="00683B8A"/>
    <w:rsid w:val="00687DF4"/>
    <w:rsid w:val="006948E2"/>
    <w:rsid w:val="006968AE"/>
    <w:rsid w:val="006D34E6"/>
    <w:rsid w:val="006E73B3"/>
    <w:rsid w:val="007223D1"/>
    <w:rsid w:val="00736961"/>
    <w:rsid w:val="00795466"/>
    <w:rsid w:val="0082197B"/>
    <w:rsid w:val="008672E4"/>
    <w:rsid w:val="008A5015"/>
    <w:rsid w:val="008F7F85"/>
    <w:rsid w:val="0090038F"/>
    <w:rsid w:val="00914783"/>
    <w:rsid w:val="00934694"/>
    <w:rsid w:val="00972253"/>
    <w:rsid w:val="0097319B"/>
    <w:rsid w:val="009948B6"/>
    <w:rsid w:val="009E3511"/>
    <w:rsid w:val="00A0203F"/>
    <w:rsid w:val="00A31799"/>
    <w:rsid w:val="00A706ED"/>
    <w:rsid w:val="00A771B0"/>
    <w:rsid w:val="00AB2FD1"/>
    <w:rsid w:val="00AB4877"/>
    <w:rsid w:val="00AE1DDA"/>
    <w:rsid w:val="00B31BA4"/>
    <w:rsid w:val="00B52C88"/>
    <w:rsid w:val="00B93A34"/>
    <w:rsid w:val="00BD0AB1"/>
    <w:rsid w:val="00C05965"/>
    <w:rsid w:val="00C0774F"/>
    <w:rsid w:val="00C11803"/>
    <w:rsid w:val="00C7046D"/>
    <w:rsid w:val="00C750CF"/>
    <w:rsid w:val="00C8740E"/>
    <w:rsid w:val="00CB0C1D"/>
    <w:rsid w:val="00CB0D82"/>
    <w:rsid w:val="00CB5CF8"/>
    <w:rsid w:val="00D11024"/>
    <w:rsid w:val="00D23E74"/>
    <w:rsid w:val="00D335DA"/>
    <w:rsid w:val="00D819D1"/>
    <w:rsid w:val="00E24C8A"/>
    <w:rsid w:val="00E51EED"/>
    <w:rsid w:val="00E85677"/>
    <w:rsid w:val="00E91411"/>
    <w:rsid w:val="00F30E3C"/>
    <w:rsid w:val="00F315B5"/>
    <w:rsid w:val="00F530DF"/>
    <w:rsid w:val="00FA273D"/>
    <w:rsid w:val="00FB2741"/>
    <w:rsid w:val="00FD022F"/>
    <w:rsid w:val="00FE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72CF2"/>
  <w15:docId w15:val="{29CAC676-8B06-40F7-9EE3-2BE08A72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2253"/>
    <w:pPr>
      <w:spacing w:before="100" w:beforeAutospacing="1" w:after="100" w:afterAutospacing="1"/>
    </w:pPr>
  </w:style>
  <w:style w:type="paragraph" w:styleId="Header">
    <w:name w:val="header"/>
    <w:basedOn w:val="Normal"/>
    <w:rsid w:val="004D03B1"/>
    <w:pPr>
      <w:tabs>
        <w:tab w:val="center" w:pos="4320"/>
        <w:tab w:val="right" w:pos="8640"/>
      </w:tabs>
    </w:pPr>
  </w:style>
  <w:style w:type="paragraph" w:styleId="Footer">
    <w:name w:val="footer"/>
    <w:basedOn w:val="Normal"/>
    <w:rsid w:val="004D03B1"/>
    <w:pPr>
      <w:tabs>
        <w:tab w:val="center" w:pos="4320"/>
        <w:tab w:val="right" w:pos="8640"/>
      </w:tabs>
    </w:pPr>
  </w:style>
  <w:style w:type="character" w:styleId="PageNumber">
    <w:name w:val="page number"/>
    <w:basedOn w:val="DefaultParagraphFont"/>
    <w:rsid w:val="0090038F"/>
  </w:style>
  <w:style w:type="paragraph" w:styleId="BalloonText">
    <w:name w:val="Balloon Text"/>
    <w:basedOn w:val="Normal"/>
    <w:semiHidden/>
    <w:rsid w:val="002C2685"/>
    <w:rPr>
      <w:rFonts w:ascii="Tahoma" w:hAnsi="Tahoma" w:cs="Tahoma"/>
      <w:sz w:val="16"/>
      <w:szCs w:val="16"/>
    </w:rPr>
  </w:style>
  <w:style w:type="paragraph" w:styleId="Date">
    <w:name w:val="Date"/>
    <w:basedOn w:val="Normal"/>
    <w:next w:val="Normal"/>
    <w:rsid w:val="002C2685"/>
  </w:style>
  <w:style w:type="paragraph" w:styleId="ListParagraph">
    <w:name w:val="List Paragraph"/>
    <w:basedOn w:val="Normal"/>
    <w:uiPriority w:val="34"/>
    <w:qFormat/>
    <w:rsid w:val="007223D1"/>
    <w:pPr>
      <w:ind w:left="720"/>
      <w:contextualSpacing/>
    </w:pPr>
  </w:style>
  <w:style w:type="paragraph" w:styleId="PlainText">
    <w:name w:val="Plain Text"/>
    <w:basedOn w:val="Normal"/>
    <w:link w:val="PlainTextChar"/>
    <w:uiPriority w:val="99"/>
    <w:unhideWhenUsed/>
    <w:rsid w:val="009948B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948B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39394">
      <w:bodyDiv w:val="1"/>
      <w:marLeft w:val="0"/>
      <w:marRight w:val="0"/>
      <w:marTop w:val="0"/>
      <w:marBottom w:val="0"/>
      <w:divBdr>
        <w:top w:val="none" w:sz="0" w:space="0" w:color="auto"/>
        <w:left w:val="none" w:sz="0" w:space="0" w:color="auto"/>
        <w:bottom w:val="none" w:sz="0" w:space="0" w:color="auto"/>
        <w:right w:val="none" w:sz="0" w:space="0" w:color="auto"/>
      </w:divBdr>
      <w:divsChild>
        <w:div w:id="907837222">
          <w:marLeft w:val="0"/>
          <w:marRight w:val="0"/>
          <w:marTop w:val="0"/>
          <w:marBottom w:val="0"/>
          <w:divBdr>
            <w:top w:val="none" w:sz="0" w:space="0" w:color="auto"/>
            <w:left w:val="none" w:sz="0" w:space="0" w:color="auto"/>
            <w:bottom w:val="none" w:sz="0" w:space="0" w:color="auto"/>
            <w:right w:val="none" w:sz="0" w:space="0" w:color="auto"/>
          </w:divBdr>
        </w:div>
      </w:divsChild>
    </w:div>
    <w:div w:id="395671025">
      <w:bodyDiv w:val="1"/>
      <w:marLeft w:val="0"/>
      <w:marRight w:val="0"/>
      <w:marTop w:val="0"/>
      <w:marBottom w:val="0"/>
      <w:divBdr>
        <w:top w:val="none" w:sz="0" w:space="0" w:color="auto"/>
        <w:left w:val="none" w:sz="0" w:space="0" w:color="auto"/>
        <w:bottom w:val="none" w:sz="0" w:space="0" w:color="auto"/>
        <w:right w:val="none" w:sz="0" w:space="0" w:color="auto"/>
      </w:divBdr>
    </w:div>
    <w:div w:id="760832243">
      <w:bodyDiv w:val="1"/>
      <w:marLeft w:val="0"/>
      <w:marRight w:val="0"/>
      <w:marTop w:val="0"/>
      <w:marBottom w:val="0"/>
      <w:divBdr>
        <w:top w:val="none" w:sz="0" w:space="0" w:color="auto"/>
        <w:left w:val="none" w:sz="0" w:space="0" w:color="auto"/>
        <w:bottom w:val="none" w:sz="0" w:space="0" w:color="auto"/>
        <w:right w:val="none" w:sz="0" w:space="0" w:color="auto"/>
      </w:divBdr>
      <w:divsChild>
        <w:div w:id="437260467">
          <w:marLeft w:val="0"/>
          <w:marRight w:val="150"/>
          <w:marTop w:val="0"/>
          <w:marBottom w:val="0"/>
          <w:divBdr>
            <w:top w:val="none" w:sz="0" w:space="0" w:color="auto"/>
            <w:left w:val="none" w:sz="0" w:space="0" w:color="auto"/>
            <w:bottom w:val="none" w:sz="0" w:space="0" w:color="auto"/>
            <w:right w:val="none" w:sz="0" w:space="0" w:color="auto"/>
          </w:divBdr>
          <w:divsChild>
            <w:div w:id="161165509">
              <w:marLeft w:val="0"/>
              <w:marRight w:val="0"/>
              <w:marTop w:val="0"/>
              <w:marBottom w:val="0"/>
              <w:divBdr>
                <w:top w:val="none" w:sz="0" w:space="0" w:color="auto"/>
                <w:left w:val="none" w:sz="0" w:space="0" w:color="auto"/>
                <w:bottom w:val="none" w:sz="0" w:space="0" w:color="auto"/>
                <w:right w:val="none" w:sz="0" w:space="0" w:color="auto"/>
              </w:divBdr>
              <w:divsChild>
                <w:div w:id="327557626">
                  <w:marLeft w:val="0"/>
                  <w:marRight w:val="150"/>
                  <w:marTop w:val="0"/>
                  <w:marBottom w:val="0"/>
                  <w:divBdr>
                    <w:top w:val="none" w:sz="0" w:space="0" w:color="auto"/>
                    <w:left w:val="none" w:sz="0" w:space="0" w:color="auto"/>
                    <w:bottom w:val="none" w:sz="0" w:space="0" w:color="auto"/>
                    <w:right w:val="none" w:sz="0" w:space="0" w:color="auto"/>
                  </w:divBdr>
                  <w:divsChild>
                    <w:div w:id="903220022">
                      <w:marLeft w:val="0"/>
                      <w:marRight w:val="0"/>
                      <w:marTop w:val="0"/>
                      <w:marBottom w:val="0"/>
                      <w:divBdr>
                        <w:top w:val="none" w:sz="0" w:space="0" w:color="auto"/>
                        <w:left w:val="none" w:sz="0" w:space="0" w:color="auto"/>
                        <w:bottom w:val="none" w:sz="0" w:space="0" w:color="auto"/>
                        <w:right w:val="none" w:sz="0" w:space="0" w:color="auto"/>
                      </w:divBdr>
                      <w:divsChild>
                        <w:div w:id="1162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Statement of Investment Policy for the Omaha Suburban Rotary Charitable Foundation</vt:lpstr>
    </vt:vector>
  </TitlesOfParts>
  <Company>First National Bank</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Investment Policy for the Omaha Suburban Rotary Charitable Foundation</dc:title>
  <dc:creator>LAN Administrator</dc:creator>
  <cp:lastModifiedBy>Suburban Rotary</cp:lastModifiedBy>
  <cp:revision>5</cp:revision>
  <cp:lastPrinted>2017-08-07T15:22:00Z</cp:lastPrinted>
  <dcterms:created xsi:type="dcterms:W3CDTF">2017-08-15T14:21:00Z</dcterms:created>
  <dcterms:modified xsi:type="dcterms:W3CDTF">2017-08-15T15:29:00Z</dcterms:modified>
</cp:coreProperties>
</file>