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CC3" w:rsidRDefault="00575CC3" w:rsidP="00575CC3">
      <w:pPr>
        <w:spacing w:after="0" w:line="259" w:lineRule="auto"/>
        <w:ind w:left="0" w:right="25" w:firstLine="0"/>
        <w:rPr>
          <w:b/>
          <w:sz w:val="32"/>
        </w:rPr>
      </w:pPr>
    </w:p>
    <w:p w:rsidR="009D6627" w:rsidRPr="00883EE6" w:rsidRDefault="00575CC3" w:rsidP="00883EE6">
      <w:pPr>
        <w:spacing w:after="0" w:line="259" w:lineRule="auto"/>
        <w:ind w:left="0" w:right="25" w:firstLine="0"/>
        <w:jc w:val="center"/>
        <w:rPr>
          <w:color w:val="0033CC"/>
        </w:rPr>
      </w:pPr>
      <w:r w:rsidRPr="00883EE6">
        <w:rPr>
          <w:b/>
          <w:color w:val="0033CC"/>
          <w:sz w:val="32"/>
        </w:rPr>
        <w:t>Rotary Club of Oberlin OH</w:t>
      </w:r>
    </w:p>
    <w:p w:rsidR="009D6627" w:rsidRDefault="009D7DF2" w:rsidP="00883EE6">
      <w:pPr>
        <w:spacing w:after="0" w:line="259" w:lineRule="auto"/>
        <w:ind w:left="10" w:right="29"/>
        <w:jc w:val="center"/>
      </w:pPr>
      <w:r>
        <w:rPr>
          <w:b/>
          <w:sz w:val="28"/>
        </w:rPr>
        <w:t xml:space="preserve">Investment Policy </w:t>
      </w:r>
    </w:p>
    <w:p w:rsidR="009D6627" w:rsidRDefault="009D7DF2">
      <w:pPr>
        <w:spacing w:after="49" w:line="259" w:lineRule="auto"/>
        <w:ind w:left="-8" w:right="0" w:firstLine="0"/>
        <w:jc w:val="left"/>
      </w:pPr>
      <w:r>
        <w:rPr>
          <w:rFonts w:ascii="Calibri" w:eastAsia="Calibri" w:hAnsi="Calibri" w:cs="Calibri"/>
          <w:noProof/>
          <w:sz w:val="22"/>
        </w:rPr>
        <mc:AlternateContent>
          <mc:Choice Requires="wpg">
            <w:drawing>
              <wp:inline distT="0" distB="0" distL="0" distR="0">
                <wp:extent cx="6530340" cy="18288"/>
                <wp:effectExtent l="0" t="0" r="0" b="0"/>
                <wp:docPr id="6604" name="Group 6604"/>
                <wp:cNvGraphicFramePr/>
                <a:graphic xmlns:a="http://schemas.openxmlformats.org/drawingml/2006/main">
                  <a:graphicData uri="http://schemas.microsoft.com/office/word/2010/wordprocessingGroup">
                    <wpg:wgp>
                      <wpg:cNvGrpSpPr/>
                      <wpg:grpSpPr>
                        <a:xfrm>
                          <a:off x="0" y="0"/>
                          <a:ext cx="6530340" cy="18288"/>
                          <a:chOff x="0" y="0"/>
                          <a:chExt cx="6530340" cy="18288"/>
                        </a:xfrm>
                      </wpg:grpSpPr>
                      <wps:wsp>
                        <wps:cNvPr id="7751" name="Shape 7751"/>
                        <wps:cNvSpPr/>
                        <wps:spPr>
                          <a:xfrm>
                            <a:off x="0" y="0"/>
                            <a:ext cx="6530340" cy="18288"/>
                          </a:xfrm>
                          <a:custGeom>
                            <a:avLst/>
                            <a:gdLst/>
                            <a:ahLst/>
                            <a:cxnLst/>
                            <a:rect l="0" t="0" r="0" b="0"/>
                            <a:pathLst>
                              <a:path w="6530340" h="18288">
                                <a:moveTo>
                                  <a:pt x="0" y="0"/>
                                </a:moveTo>
                                <a:lnTo>
                                  <a:pt x="6530340" y="0"/>
                                </a:lnTo>
                                <a:lnTo>
                                  <a:pt x="6530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04" style="width:514.2pt;height:1.44pt;mso-position-horizontal-relative:char;mso-position-vertical-relative:line" coordsize="65303,182">
                <v:shape id="Shape 7752" style="position:absolute;width:65303;height:182;left:0;top:0;" coordsize="6530340,18288" path="m0,0l6530340,0l6530340,18288l0,18288l0,0">
                  <v:stroke weight="0pt" endcap="flat" joinstyle="miter" miterlimit="10" on="false" color="#000000" opacity="0"/>
                  <v:fill on="true" color="#000000"/>
                </v:shape>
              </v:group>
            </w:pict>
          </mc:Fallback>
        </mc:AlternateContent>
      </w:r>
    </w:p>
    <w:p w:rsidR="009D6627" w:rsidRDefault="009D7DF2">
      <w:pPr>
        <w:spacing w:after="0" w:line="259" w:lineRule="auto"/>
        <w:ind w:left="21" w:right="0" w:firstLine="0"/>
        <w:jc w:val="left"/>
      </w:pPr>
      <w:r>
        <w:t xml:space="preserve"> </w:t>
      </w:r>
    </w:p>
    <w:p w:rsidR="009D6627" w:rsidRDefault="009D7DF2">
      <w:pPr>
        <w:pStyle w:val="Heading1"/>
        <w:spacing w:after="3"/>
        <w:ind w:left="16"/>
      </w:pPr>
      <w:r>
        <w:rPr>
          <w:sz w:val="24"/>
        </w:rPr>
        <w:t>Purpose</w:t>
      </w:r>
      <w:r>
        <w:rPr>
          <w:b w:val="0"/>
          <w:sz w:val="24"/>
        </w:rPr>
        <w:t xml:space="preserve"> </w:t>
      </w:r>
    </w:p>
    <w:p w:rsidR="009D6627" w:rsidRDefault="009D7DF2">
      <w:pPr>
        <w:ind w:right="37"/>
      </w:pPr>
      <w:r>
        <w:t xml:space="preserve"> This policy establishes investment objectives, policies, </w:t>
      </w:r>
      <w:r w:rsidR="00F7424C">
        <w:t>guidelines,</w:t>
      </w:r>
      <w:r>
        <w:t xml:space="preserve"> and eligible securities related to all assets held by </w:t>
      </w:r>
      <w:r w:rsidR="00575CC3">
        <w:t xml:space="preserve">ROTARY CLUB OF OBERLIN </w:t>
      </w:r>
      <w:r>
        <w:t xml:space="preserve">primarily for </w:t>
      </w:r>
      <w:r w:rsidR="00575CC3">
        <w:t>charitable</w:t>
      </w:r>
      <w:r>
        <w:t xml:space="preserve"> p</w:t>
      </w:r>
      <w:r w:rsidR="00575CC3">
        <w:t>urposes</w:t>
      </w:r>
      <w:r w:rsidR="00F7424C">
        <w:t xml:space="preserve">. </w:t>
      </w:r>
      <w:r>
        <w:t xml:space="preserve">In doing so the policy: </w:t>
      </w:r>
    </w:p>
    <w:p w:rsidR="00450658" w:rsidRDefault="009D7DF2" w:rsidP="00450658">
      <w:pPr>
        <w:spacing w:after="68" w:line="259" w:lineRule="auto"/>
        <w:ind w:left="21" w:right="0" w:firstLine="0"/>
        <w:jc w:val="left"/>
      </w:pPr>
      <w:r>
        <w:t xml:space="preserve"> </w:t>
      </w:r>
      <w:bookmarkStart w:id="0" w:name="_GoBack"/>
      <w:bookmarkEnd w:id="0"/>
    </w:p>
    <w:p w:rsidR="009D6627" w:rsidRDefault="00D14612" w:rsidP="00450658">
      <w:pPr>
        <w:pStyle w:val="ListParagraph"/>
        <w:numPr>
          <w:ilvl w:val="0"/>
          <w:numId w:val="9"/>
        </w:numPr>
        <w:spacing w:after="68" w:line="259" w:lineRule="auto"/>
        <w:ind w:right="0"/>
        <w:jc w:val="left"/>
      </w:pPr>
      <w:r>
        <w:t>Clarifies</w:t>
      </w:r>
      <w:r w:rsidR="009D7DF2">
        <w:t xml:space="preserve"> the delegation of duties and responsibilities concerning</w:t>
      </w:r>
      <w:r w:rsidR="00575CC3">
        <w:t xml:space="preserve"> the management of these</w:t>
      </w:r>
      <w:r w:rsidR="009D7DF2">
        <w:t xml:space="preserve"> funds. </w:t>
      </w:r>
    </w:p>
    <w:p w:rsidR="009D6627" w:rsidRDefault="00D14612">
      <w:pPr>
        <w:numPr>
          <w:ilvl w:val="0"/>
          <w:numId w:val="1"/>
        </w:numPr>
        <w:spacing w:after="83"/>
        <w:ind w:right="37" w:hanging="360"/>
      </w:pPr>
      <w:r>
        <w:t>Identifies</w:t>
      </w:r>
      <w:r w:rsidR="009D7DF2">
        <w:t xml:space="preserve"> the criteria against which the investment performance of the organization’s investments will be measured. </w:t>
      </w:r>
    </w:p>
    <w:p w:rsidR="009D6627" w:rsidRDefault="00D14612">
      <w:pPr>
        <w:numPr>
          <w:ilvl w:val="0"/>
          <w:numId w:val="1"/>
        </w:numPr>
        <w:spacing w:after="82"/>
        <w:ind w:right="37" w:hanging="360"/>
      </w:pPr>
      <w:r>
        <w:t>Communicates</w:t>
      </w:r>
      <w:r w:rsidR="009D7DF2">
        <w:t xml:space="preserve"> the objectives to the Board, staff, investment managers, brokers, </w:t>
      </w:r>
      <w:r w:rsidR="00F7424C">
        <w:t>donors,</w:t>
      </w:r>
      <w:r w:rsidR="009D7DF2">
        <w:t xml:space="preserve"> and funding sources that may </w:t>
      </w:r>
      <w:r w:rsidR="00C21826">
        <w:t>be involved</w:t>
      </w:r>
      <w:r w:rsidR="009D7DF2">
        <w:t xml:space="preserve">. </w:t>
      </w:r>
    </w:p>
    <w:p w:rsidR="009D6627" w:rsidRDefault="00D14612">
      <w:pPr>
        <w:numPr>
          <w:ilvl w:val="0"/>
          <w:numId w:val="1"/>
        </w:numPr>
        <w:spacing w:after="29"/>
        <w:ind w:right="37" w:hanging="360"/>
      </w:pPr>
      <w:r>
        <w:t>Confirms</w:t>
      </w:r>
      <w:r w:rsidR="009D7DF2">
        <w:t xml:space="preserve"> policies and procedures relative to the expenditure of </w:t>
      </w:r>
      <w:r w:rsidR="00575CC3">
        <w:t>charitable</w:t>
      </w:r>
      <w:r w:rsidR="009D7DF2">
        <w:t xml:space="preserve"> funds. </w:t>
      </w:r>
    </w:p>
    <w:p w:rsidR="009D6627" w:rsidRDefault="00D14612">
      <w:pPr>
        <w:numPr>
          <w:ilvl w:val="0"/>
          <w:numId w:val="1"/>
        </w:numPr>
        <w:ind w:right="37" w:hanging="360"/>
      </w:pPr>
      <w:r>
        <w:t>Serves</w:t>
      </w:r>
      <w:r w:rsidR="009D7DF2">
        <w:t xml:space="preserve"> as a review document to guide the ongoing oversight of the management of the organizations’ investments. </w:t>
      </w:r>
    </w:p>
    <w:p w:rsidR="009D6627" w:rsidRDefault="009D7DF2">
      <w:pPr>
        <w:spacing w:after="0" w:line="259" w:lineRule="auto"/>
        <w:ind w:left="21" w:right="0" w:firstLine="0"/>
        <w:jc w:val="left"/>
      </w:pPr>
      <w:r>
        <w:rPr>
          <w:b/>
        </w:rPr>
        <w:t xml:space="preserve"> </w:t>
      </w:r>
    </w:p>
    <w:p w:rsidR="009D6627" w:rsidRDefault="009D7DF2">
      <w:pPr>
        <w:pStyle w:val="Heading1"/>
        <w:spacing w:after="3"/>
        <w:ind w:left="16"/>
      </w:pPr>
      <w:r>
        <w:rPr>
          <w:sz w:val="24"/>
        </w:rPr>
        <w:t xml:space="preserve">Delegation of Responsibilities </w:t>
      </w:r>
    </w:p>
    <w:p w:rsidR="009D6627" w:rsidRDefault="009D7DF2">
      <w:pPr>
        <w:ind w:right="37"/>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621792</wp:posOffset>
                </wp:positionH>
                <wp:positionV relativeFrom="page">
                  <wp:posOffset>606552</wp:posOffset>
                </wp:positionV>
                <wp:extent cx="6530340" cy="18288"/>
                <wp:effectExtent l="0" t="0" r="0" b="0"/>
                <wp:wrapTopAndBottom/>
                <wp:docPr id="6603" name="Group 6603"/>
                <wp:cNvGraphicFramePr/>
                <a:graphic xmlns:a="http://schemas.openxmlformats.org/drawingml/2006/main">
                  <a:graphicData uri="http://schemas.microsoft.com/office/word/2010/wordprocessingGroup">
                    <wpg:wgp>
                      <wpg:cNvGrpSpPr/>
                      <wpg:grpSpPr>
                        <a:xfrm>
                          <a:off x="0" y="0"/>
                          <a:ext cx="6530340" cy="18288"/>
                          <a:chOff x="0" y="0"/>
                          <a:chExt cx="6530340" cy="18288"/>
                        </a:xfrm>
                      </wpg:grpSpPr>
                      <wps:wsp>
                        <wps:cNvPr id="7753" name="Shape 7753"/>
                        <wps:cNvSpPr/>
                        <wps:spPr>
                          <a:xfrm>
                            <a:off x="0" y="0"/>
                            <a:ext cx="6530340" cy="18288"/>
                          </a:xfrm>
                          <a:custGeom>
                            <a:avLst/>
                            <a:gdLst/>
                            <a:ahLst/>
                            <a:cxnLst/>
                            <a:rect l="0" t="0" r="0" b="0"/>
                            <a:pathLst>
                              <a:path w="6530340" h="18288">
                                <a:moveTo>
                                  <a:pt x="0" y="0"/>
                                </a:moveTo>
                                <a:lnTo>
                                  <a:pt x="6530340" y="0"/>
                                </a:lnTo>
                                <a:lnTo>
                                  <a:pt x="6530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03" style="width:514.2pt;height:1.44pt;position:absolute;mso-position-horizontal-relative:page;mso-position-horizontal:absolute;margin-left:48.96pt;mso-position-vertical-relative:page;margin-top:47.76pt;" coordsize="65303,182">
                <v:shape id="Shape 7754" style="position:absolute;width:65303;height:182;left:0;top:0;" coordsize="6530340,18288" path="m0,0l6530340,0l6530340,18288l0,18288l0,0">
                  <v:stroke weight="0pt" endcap="flat" joinstyle="miter" miterlimit="10" on="false" color="#000000" opacity="0"/>
                  <v:fill on="true" color="#000000"/>
                </v:shape>
                <w10:wrap type="topAndBottom"/>
              </v:group>
            </w:pict>
          </mc:Fallback>
        </mc:AlternateContent>
      </w:r>
      <w:r>
        <w:t>The Board of Directors has a direct oversight role regarding all decisions that impact</w:t>
      </w:r>
      <w:r w:rsidR="00575CC3">
        <w:t xml:space="preserve"> the ROTARY CLUB OF OBERLIN’s charitable </w:t>
      </w:r>
      <w:r>
        <w:t>funds</w:t>
      </w:r>
      <w:r w:rsidR="00C21826">
        <w:t xml:space="preserve">. </w:t>
      </w:r>
      <w:r>
        <w:t xml:space="preserve">The Board has delegated supervisory responsibility for the management of our </w:t>
      </w:r>
      <w:r w:rsidR="00575CC3">
        <w:t>charitable</w:t>
      </w:r>
      <w:r>
        <w:t xml:space="preserve"> funds </w:t>
      </w:r>
      <w:r w:rsidR="00575CC3">
        <w:t>to the (Investment Oversight Committee</w:t>
      </w:r>
      <w:r>
        <w:t xml:space="preserve">). Specific responsibilities of the various bodies and individuals responsible for the management of our </w:t>
      </w:r>
      <w:r w:rsidR="00575CC3">
        <w:t>charitable</w:t>
      </w:r>
      <w:r>
        <w:t xml:space="preserve"> funds are set forth below: </w:t>
      </w:r>
    </w:p>
    <w:p w:rsidR="009D6627" w:rsidRDefault="009D7DF2">
      <w:pPr>
        <w:spacing w:after="0" w:line="259" w:lineRule="auto"/>
        <w:ind w:left="0" w:right="0" w:firstLine="0"/>
        <w:jc w:val="left"/>
      </w:pPr>
      <w:r>
        <w:rPr>
          <w:b/>
          <w:sz w:val="25"/>
        </w:rPr>
        <w:t xml:space="preserve"> </w:t>
      </w:r>
    </w:p>
    <w:p w:rsidR="009D6627" w:rsidRDefault="009D7DF2">
      <w:pPr>
        <w:pStyle w:val="Heading1"/>
        <w:ind w:left="-5"/>
      </w:pPr>
      <w:r>
        <w:t xml:space="preserve">Responsibilities of the Board </w:t>
      </w:r>
    </w:p>
    <w:p w:rsidR="00F7424C" w:rsidRDefault="009D7DF2" w:rsidP="00F7424C">
      <w:pPr>
        <w:ind w:right="37"/>
      </w:pPr>
      <w:r>
        <w:t xml:space="preserve">The Board shall ensure that its fiduciary responsibilities concerning the proper management of </w:t>
      </w:r>
      <w:r w:rsidR="00C01DBB">
        <w:t xml:space="preserve">ROTARY CLUB OF OBERLIN </w:t>
      </w:r>
      <w:r w:rsidR="00575CC3">
        <w:t>charitable</w:t>
      </w:r>
      <w:r>
        <w:t xml:space="preserve"> funds are fulfilled through appropriate investment structure, internal and external management, and portfolio performance consistent with all policies and procedures</w:t>
      </w:r>
      <w:r w:rsidR="00C21826">
        <w:t xml:space="preserve">. </w:t>
      </w:r>
    </w:p>
    <w:p w:rsidR="00F7424C" w:rsidRDefault="00F7424C" w:rsidP="00F7424C">
      <w:pPr>
        <w:ind w:right="37"/>
      </w:pPr>
    </w:p>
    <w:p w:rsidR="00F7424C" w:rsidRDefault="00F7424C" w:rsidP="00F7424C">
      <w:pPr>
        <w:ind w:right="37"/>
      </w:pPr>
      <w:r>
        <w:t xml:space="preserve">The club </w:t>
      </w:r>
      <w:r w:rsidR="00C21826">
        <w:t>President</w:t>
      </w:r>
      <w:r>
        <w:t xml:space="preserve"> shall annually appoint or </w:t>
      </w:r>
      <w:r w:rsidR="009D7DF2">
        <w:t>remove</w:t>
      </w:r>
      <w:r>
        <w:t xml:space="preserve"> the </w:t>
      </w:r>
      <w:r w:rsidR="009D7DF2">
        <w:t xml:space="preserve">members of the </w:t>
      </w:r>
      <w:r w:rsidR="00C21826">
        <w:t xml:space="preserve">Investment </w:t>
      </w:r>
      <w:r w:rsidR="00873E4B">
        <w:t>Over</w:t>
      </w:r>
      <w:r w:rsidR="00C21826">
        <w:t>sight</w:t>
      </w:r>
      <w:r>
        <w:t xml:space="preserve"> </w:t>
      </w:r>
      <w:r w:rsidR="009D7DF2">
        <w:t>Committee</w:t>
      </w:r>
      <w:r>
        <w:t>, with the approval of the board.</w:t>
      </w:r>
    </w:p>
    <w:p w:rsidR="00F7424C" w:rsidRDefault="00F7424C" w:rsidP="00F7424C">
      <w:pPr>
        <w:spacing w:after="68" w:line="259" w:lineRule="auto"/>
        <w:ind w:right="37"/>
        <w:jc w:val="left"/>
      </w:pPr>
    </w:p>
    <w:p w:rsidR="009D6627" w:rsidRDefault="00F7424C" w:rsidP="00F7424C">
      <w:pPr>
        <w:spacing w:after="68" w:line="259" w:lineRule="auto"/>
        <w:ind w:right="37"/>
        <w:jc w:val="left"/>
      </w:pPr>
      <w:r>
        <w:t>A</w:t>
      </w:r>
      <w:r w:rsidR="00883EE6">
        <w:t>pp</w:t>
      </w:r>
      <w:r w:rsidR="009D7DF2">
        <w:t xml:space="preserve">rove investment policies and objectives that reflect the long-term investment-risk orientation of the </w:t>
      </w:r>
      <w:r>
        <w:t>charitable funds</w:t>
      </w:r>
      <w:r w:rsidR="009D7DF2">
        <w:t xml:space="preserve">. </w:t>
      </w:r>
    </w:p>
    <w:p w:rsidR="009D6627" w:rsidRDefault="009D7DF2">
      <w:pPr>
        <w:spacing w:after="0" w:line="259" w:lineRule="auto"/>
        <w:ind w:left="0" w:right="0" w:firstLine="0"/>
        <w:jc w:val="left"/>
      </w:pPr>
      <w:r>
        <w:rPr>
          <w:b/>
          <w:sz w:val="25"/>
        </w:rPr>
        <w:t xml:space="preserve"> </w:t>
      </w:r>
    </w:p>
    <w:p w:rsidR="009D6627" w:rsidRDefault="00883EE6">
      <w:pPr>
        <w:pStyle w:val="Heading1"/>
        <w:ind w:left="-5"/>
      </w:pPr>
      <w:r>
        <w:t xml:space="preserve">Responsibilities of the </w:t>
      </w:r>
      <w:r w:rsidR="00C01DBB">
        <w:t>Investment Oversight Committee</w:t>
      </w:r>
      <w:r w:rsidR="009D7DF2">
        <w:t xml:space="preserve"> </w:t>
      </w:r>
    </w:p>
    <w:p w:rsidR="009D6627" w:rsidRDefault="009D7DF2">
      <w:pPr>
        <w:ind w:right="37"/>
      </w:pPr>
      <w:r>
        <w:t>Members of</w:t>
      </w:r>
      <w:r w:rsidR="00883EE6">
        <w:t xml:space="preserve"> the </w:t>
      </w:r>
      <w:r w:rsidR="00C01DBB">
        <w:t>Investment Oversight Committee</w:t>
      </w:r>
      <w:r>
        <w:t xml:space="preserve"> are not held accountable for less than desirable outcomes, rather for adherence to procedural prudence, or the process by which decisions are made in respect to </w:t>
      </w:r>
      <w:r w:rsidR="00F7424C">
        <w:t>charitable funds</w:t>
      </w:r>
      <w:r>
        <w:t xml:space="preserve"> assets</w:t>
      </w:r>
      <w:r w:rsidR="00C21826">
        <w:t xml:space="preserve">. </w:t>
      </w:r>
      <w:r>
        <w:t xml:space="preserve">In consideration of the foregoing, the Committee is responsible for the development, recommendation, </w:t>
      </w:r>
      <w:r w:rsidR="00C21826">
        <w:t>implementation,</w:t>
      </w:r>
      <w:r>
        <w:t xml:space="preserve"> and maintenance of all policies relative to </w:t>
      </w:r>
      <w:r w:rsidR="00C01DBB">
        <w:t xml:space="preserve">ROTARY CLUB OF OBERLIN </w:t>
      </w:r>
      <w:r w:rsidR="00575CC3">
        <w:t>charitable</w:t>
      </w:r>
      <w:r>
        <w:t xml:space="preserve"> funds an</w:t>
      </w:r>
      <w:r w:rsidR="00C01DBB">
        <w:t>d</w:t>
      </w:r>
      <w:r>
        <w:t xml:space="preserve"> shall: </w:t>
      </w:r>
    </w:p>
    <w:p w:rsidR="009D6627" w:rsidRDefault="009D7DF2">
      <w:pPr>
        <w:spacing w:after="68" w:line="259" w:lineRule="auto"/>
        <w:ind w:left="21" w:right="0" w:firstLine="0"/>
        <w:jc w:val="left"/>
      </w:pPr>
      <w:r>
        <w:t xml:space="preserve"> </w:t>
      </w:r>
    </w:p>
    <w:p w:rsidR="009D6627" w:rsidRDefault="00D14612">
      <w:pPr>
        <w:numPr>
          <w:ilvl w:val="0"/>
          <w:numId w:val="3"/>
        </w:numPr>
        <w:ind w:right="37" w:hanging="360"/>
      </w:pPr>
      <w:r>
        <w:lastRenderedPageBreak/>
        <w:t>Develop</w:t>
      </w:r>
      <w:r w:rsidR="009D7DF2">
        <w:t xml:space="preserve"> and/or propose policy recommendations to the Board with regard to the management of all </w:t>
      </w:r>
      <w:r w:rsidR="00575CC3">
        <w:t>charitable</w:t>
      </w:r>
      <w:r w:rsidR="009D7DF2">
        <w:t xml:space="preserve"> funds. </w:t>
      </w:r>
    </w:p>
    <w:p w:rsidR="009D6627" w:rsidRDefault="00D14612">
      <w:pPr>
        <w:numPr>
          <w:ilvl w:val="0"/>
          <w:numId w:val="3"/>
        </w:numPr>
        <w:spacing w:after="82"/>
        <w:ind w:right="37" w:hanging="360"/>
      </w:pPr>
      <w:r>
        <w:t>Recommend</w:t>
      </w:r>
      <w:r w:rsidR="009D7DF2">
        <w:t xml:space="preserve"> long-term and short-term investment policies and objectives for our </w:t>
      </w:r>
      <w:r w:rsidR="00575CC3">
        <w:t>charitable</w:t>
      </w:r>
      <w:r w:rsidR="009D7DF2">
        <w:t xml:space="preserve"> funds, including the study and selection of asset classes, determining asset allocation ranges, and setting performance objectives. </w:t>
      </w:r>
    </w:p>
    <w:p w:rsidR="009D6627" w:rsidRDefault="00D14612">
      <w:pPr>
        <w:numPr>
          <w:ilvl w:val="0"/>
          <w:numId w:val="3"/>
        </w:numPr>
        <w:spacing w:after="82"/>
        <w:ind w:right="37" w:hanging="360"/>
      </w:pPr>
      <w:r>
        <w:t>Determine</w:t>
      </w:r>
      <w:r w:rsidR="009D7DF2">
        <w:t xml:space="preserve"> that </w:t>
      </w:r>
      <w:r w:rsidR="00575CC3">
        <w:t>charitable</w:t>
      </w:r>
      <w:r w:rsidR="009D7DF2">
        <w:t xml:space="preserve"> funds are prudently and effectively managed with the assistance of management and any necessary investment consultants and/or other outside professionals, if any. </w:t>
      </w:r>
    </w:p>
    <w:p w:rsidR="009D6627" w:rsidRDefault="00D14612">
      <w:pPr>
        <w:numPr>
          <w:ilvl w:val="0"/>
          <w:numId w:val="3"/>
        </w:numPr>
        <w:spacing w:after="82"/>
        <w:ind w:right="37" w:hanging="360"/>
      </w:pPr>
      <w:r>
        <w:t>Monitor</w:t>
      </w:r>
      <w:r w:rsidR="009D7DF2">
        <w:t xml:space="preserve"> and evaluate the performance of all those responsible for the management of </w:t>
      </w:r>
      <w:r w:rsidR="00575CC3">
        <w:t>charitable</w:t>
      </w:r>
      <w:r w:rsidR="009D7DF2">
        <w:t xml:space="preserve"> funds. </w:t>
      </w:r>
    </w:p>
    <w:p w:rsidR="009D6627" w:rsidRDefault="00D14612">
      <w:pPr>
        <w:numPr>
          <w:ilvl w:val="0"/>
          <w:numId w:val="3"/>
        </w:numPr>
        <w:spacing w:after="82"/>
        <w:ind w:right="37" w:hanging="360"/>
      </w:pPr>
      <w:r>
        <w:t>Recommend</w:t>
      </w:r>
      <w:r w:rsidR="009D7DF2">
        <w:t xml:space="preserve"> the retention and/or dismissal of investment consultants and/or other outside professionals. </w:t>
      </w:r>
    </w:p>
    <w:p w:rsidR="009D6627" w:rsidRDefault="00D14612">
      <w:pPr>
        <w:numPr>
          <w:ilvl w:val="0"/>
          <w:numId w:val="3"/>
        </w:numPr>
        <w:spacing w:after="82"/>
        <w:ind w:right="37" w:hanging="360"/>
      </w:pPr>
      <w:r>
        <w:t>Receive</w:t>
      </w:r>
      <w:r w:rsidR="009D7DF2">
        <w:t xml:space="preserve"> and review reports from management, investment consultants and/or other outside professionals, if any. </w:t>
      </w:r>
    </w:p>
    <w:p w:rsidR="009D6627" w:rsidRDefault="00D14612">
      <w:pPr>
        <w:numPr>
          <w:ilvl w:val="0"/>
          <w:numId w:val="3"/>
        </w:numPr>
        <w:spacing w:after="82"/>
        <w:ind w:right="37" w:hanging="360"/>
      </w:pPr>
      <w:r>
        <w:t>Periodically</w:t>
      </w:r>
      <w:r w:rsidR="009D7DF2">
        <w:t xml:space="preserve"> meet with management, investment consultants and/or other outside </w:t>
      </w:r>
      <w:r>
        <w:t>professional’s</w:t>
      </w:r>
      <w:r w:rsidR="009D7DF2">
        <w:t xml:space="preserve"> management, investment consultants and/or other outside professionals. </w:t>
      </w:r>
    </w:p>
    <w:p w:rsidR="009D6627" w:rsidRDefault="00D14612">
      <w:pPr>
        <w:numPr>
          <w:ilvl w:val="0"/>
          <w:numId w:val="3"/>
        </w:numPr>
        <w:ind w:right="37" w:hanging="360"/>
      </w:pPr>
      <w:r>
        <w:t>Convene</w:t>
      </w:r>
      <w:r w:rsidR="009D7DF2">
        <w:t xml:space="preserve"> regularly to evaluate whether this policy, investment activities, risk management controls and processes continue to be consistent with meeting the goals and objectives set for the management of </w:t>
      </w:r>
      <w:r w:rsidR="00575CC3">
        <w:t>charitable</w:t>
      </w:r>
      <w:r w:rsidR="009D7DF2">
        <w:t xml:space="preserve"> funds. </w:t>
      </w:r>
    </w:p>
    <w:p w:rsidR="009D6627" w:rsidRDefault="009D7DF2">
      <w:pPr>
        <w:spacing w:after="0" w:line="259" w:lineRule="auto"/>
        <w:ind w:left="0" w:right="0" w:firstLine="0"/>
        <w:jc w:val="left"/>
      </w:pPr>
      <w:r>
        <w:rPr>
          <w:b/>
          <w:sz w:val="25"/>
        </w:rPr>
        <w:t xml:space="preserve"> </w:t>
      </w:r>
    </w:p>
    <w:p w:rsidR="009D6627" w:rsidRDefault="009D7DF2">
      <w:pPr>
        <w:pStyle w:val="Heading1"/>
        <w:ind w:left="-5"/>
      </w:pPr>
      <w:r>
        <w:t xml:space="preserve">Responsibilities of Management </w:t>
      </w:r>
    </w:p>
    <w:p w:rsidR="009D6627" w:rsidRDefault="009D7DF2">
      <w:pPr>
        <w:ind w:right="37"/>
      </w:pPr>
      <w:r>
        <w:t>Management shall be responsible for the day-to-day administration and implementation of policies estab</w:t>
      </w:r>
      <w:r w:rsidR="00883EE6">
        <w:t>lished by the Board and/or the Investment</w:t>
      </w:r>
      <w:r w:rsidR="00C01DBB">
        <w:t xml:space="preserve"> Oversight Committee</w:t>
      </w:r>
      <w:r>
        <w:t xml:space="preserve"> concerning the management of </w:t>
      </w:r>
      <w:r w:rsidR="00575CC3">
        <w:t>charitable</w:t>
      </w:r>
      <w:r>
        <w:t xml:space="preserve"> funds</w:t>
      </w:r>
      <w:r w:rsidR="00C21826">
        <w:t xml:space="preserve">. </w:t>
      </w:r>
      <w:r>
        <w:t xml:space="preserve">Management shall also be the primary liaison between any investment consultants and/or other outside professionals that may be retained to assist in the management of such funds. Specifically, management shall: </w:t>
      </w:r>
    </w:p>
    <w:p w:rsidR="009D6627" w:rsidRDefault="009D7DF2">
      <w:pPr>
        <w:spacing w:after="52" w:line="259" w:lineRule="auto"/>
        <w:ind w:left="0" w:right="0" w:firstLine="0"/>
        <w:jc w:val="left"/>
      </w:pPr>
      <w:r>
        <w:rPr>
          <w:b/>
          <w:sz w:val="25"/>
        </w:rPr>
        <w:t xml:space="preserve"> </w:t>
      </w:r>
    </w:p>
    <w:p w:rsidR="009D6627" w:rsidRDefault="00D14612">
      <w:pPr>
        <w:numPr>
          <w:ilvl w:val="0"/>
          <w:numId w:val="4"/>
        </w:numPr>
        <w:spacing w:after="83"/>
        <w:ind w:right="37" w:hanging="360"/>
      </w:pPr>
      <w:r>
        <w:t>Oversee</w:t>
      </w:r>
      <w:r w:rsidR="009D7DF2">
        <w:t xml:space="preserve"> the day-to-day operational investment activities of all </w:t>
      </w:r>
      <w:r w:rsidR="00575CC3">
        <w:t>charitable</w:t>
      </w:r>
      <w:r w:rsidR="009D7DF2">
        <w:t xml:space="preserve"> funds subject to policies estab</w:t>
      </w:r>
      <w:r w:rsidR="00883EE6">
        <w:t>lished by the Board and/or the Investment</w:t>
      </w:r>
      <w:r w:rsidR="00C01DBB">
        <w:t xml:space="preserve"> Oversight Committee</w:t>
      </w:r>
      <w:r w:rsidR="009D7DF2">
        <w:t xml:space="preserve">. </w:t>
      </w:r>
    </w:p>
    <w:p w:rsidR="009D6627" w:rsidRDefault="00D14612">
      <w:pPr>
        <w:numPr>
          <w:ilvl w:val="0"/>
          <w:numId w:val="4"/>
        </w:numPr>
        <w:spacing w:after="82"/>
        <w:ind w:right="37" w:hanging="360"/>
      </w:pPr>
      <w:r>
        <w:t>Contract</w:t>
      </w:r>
      <w:r w:rsidR="009D7DF2">
        <w:t xml:space="preserve"> with any necessary outside service providers, such as: investment consultants, investment managers, banks, and/or trust companies and/or any other necessary outside professionals. </w:t>
      </w:r>
    </w:p>
    <w:p w:rsidR="009D6627" w:rsidRDefault="00D14612">
      <w:pPr>
        <w:numPr>
          <w:ilvl w:val="0"/>
          <w:numId w:val="4"/>
        </w:numPr>
        <w:spacing w:after="33"/>
        <w:ind w:right="37" w:hanging="360"/>
      </w:pPr>
      <w:r>
        <w:t>Ensure</w:t>
      </w:r>
      <w:r w:rsidR="009D7DF2">
        <w:t xml:space="preserve"> that the service providers adhere to the terms and conditions of their contracts; have no material conflicts of interests</w:t>
      </w:r>
      <w:r w:rsidR="00883EE6">
        <w:t xml:space="preserve"> with the interests of Rotary Club of Oberlin</w:t>
      </w:r>
      <w:r w:rsidR="009D7DF2">
        <w:t xml:space="preserve"> and, performance monitoring systems</w:t>
      </w:r>
      <w:r w:rsidR="00883EE6">
        <w:t xml:space="preserve"> are sufficient to provide the Investment Oversight Committee with timely,</w:t>
      </w:r>
      <w:r w:rsidR="009D7DF2">
        <w:rPr>
          <w:rFonts w:ascii="Arial" w:eastAsia="Arial" w:hAnsi="Arial" w:cs="Arial"/>
        </w:rPr>
        <w:t xml:space="preserve"> </w:t>
      </w:r>
      <w:r w:rsidR="00C21826">
        <w:t>accurate,</w:t>
      </w:r>
      <w:r w:rsidR="009D7DF2">
        <w:t xml:space="preserve"> and useful information. </w:t>
      </w:r>
    </w:p>
    <w:p w:rsidR="009D6627" w:rsidRDefault="009D7DF2">
      <w:pPr>
        <w:numPr>
          <w:ilvl w:val="0"/>
          <w:numId w:val="4"/>
        </w:numPr>
        <w:spacing w:after="82"/>
        <w:ind w:right="37" w:hanging="360"/>
      </w:pPr>
      <w:r>
        <w:t xml:space="preserve">regularly meet with any outside service providers to evaluate and assess compliance with investment guidelines, performance, </w:t>
      </w:r>
      <w:r w:rsidR="00C21826">
        <w:t>outlook,</w:t>
      </w:r>
      <w:r>
        <w:t xml:space="preserve"> and investment strategies; monitor asset allocation and rebala</w:t>
      </w:r>
      <w:r w:rsidR="00883EE6">
        <w:t>nce assets, as directed by the Investment</w:t>
      </w:r>
      <w:r w:rsidR="00C01DBB">
        <w:t xml:space="preserve"> Oversight Committee</w:t>
      </w:r>
      <w:r w:rsidR="00883EE6">
        <w:t xml:space="preserve"> </w:t>
      </w:r>
      <w:r>
        <w:t xml:space="preserve">and in accordance with approved asset allocation policies, among asset classes and investment styles; and, tend to all other matters deemed to be consistent with due diligence with respect to prudent management of </w:t>
      </w:r>
      <w:r w:rsidR="00575CC3">
        <w:t>charitable</w:t>
      </w:r>
      <w:r>
        <w:t xml:space="preserve"> funds. </w:t>
      </w:r>
    </w:p>
    <w:p w:rsidR="009D6627" w:rsidRDefault="00D14612">
      <w:pPr>
        <w:numPr>
          <w:ilvl w:val="0"/>
          <w:numId w:val="4"/>
        </w:numPr>
        <w:ind w:right="37" w:hanging="360"/>
      </w:pPr>
      <w:r>
        <w:t>Comply</w:t>
      </w:r>
      <w:r w:rsidR="009D7DF2">
        <w:t xml:space="preserve"> with official accounting and auditing guidelines regarding due diligence and ongoing monitoring of investments, especially alternative investments. Prepare and issue periodic statu</w:t>
      </w:r>
      <w:r w:rsidR="00883EE6">
        <w:t>s reports to the Board and the Investment</w:t>
      </w:r>
      <w:r w:rsidR="00C01DBB">
        <w:t xml:space="preserve"> Oversight Committee</w:t>
      </w:r>
      <w:r w:rsidR="009D7DF2">
        <w:t xml:space="preserve">. </w:t>
      </w:r>
    </w:p>
    <w:p w:rsidR="009D6627" w:rsidRDefault="009D7DF2">
      <w:pPr>
        <w:spacing w:after="0" w:line="259" w:lineRule="auto"/>
        <w:ind w:left="21" w:right="0" w:firstLine="0"/>
        <w:jc w:val="left"/>
      </w:pPr>
      <w:r>
        <w:t xml:space="preserve"> </w:t>
      </w:r>
    </w:p>
    <w:p w:rsidR="009D6627" w:rsidRDefault="009D7DF2">
      <w:pPr>
        <w:pStyle w:val="Heading2"/>
        <w:ind w:left="16"/>
      </w:pPr>
      <w:r>
        <w:lastRenderedPageBreak/>
        <w:t xml:space="preserve">Investment Considerations </w:t>
      </w:r>
    </w:p>
    <w:p w:rsidR="009D6627" w:rsidRDefault="00883EE6" w:rsidP="00883EE6">
      <w:pPr>
        <w:ind w:left="21" w:right="37" w:firstLine="0"/>
      </w:pPr>
      <w:r>
        <w:t>The Investment</w:t>
      </w:r>
      <w:r w:rsidR="00C01DBB">
        <w:t xml:space="preserve"> Oversight Committee</w:t>
      </w:r>
      <w:r w:rsidR="009D7DF2">
        <w:t xml:space="preserve">) must consider the purposes of both </w:t>
      </w:r>
      <w:r>
        <w:t>the Rotary Club of Oberlin</w:t>
      </w:r>
      <w:r w:rsidR="009D7DF2">
        <w:t xml:space="preserve">. and our assets in managing and investing </w:t>
      </w:r>
      <w:r w:rsidR="00575CC3">
        <w:t>charitable</w:t>
      </w:r>
      <w:r w:rsidR="009D7DF2">
        <w:t xml:space="preserve"> funds</w:t>
      </w:r>
      <w:r w:rsidR="00C21826">
        <w:t xml:space="preserve">. </w:t>
      </w:r>
      <w:r w:rsidR="009D7DF2">
        <w:t xml:space="preserve">All individuals responsible for managing and investing </w:t>
      </w:r>
      <w:r w:rsidR="00C01DBB">
        <w:t>ROTARY CLUB OF OBERLIN</w:t>
      </w:r>
      <w:r>
        <w:t xml:space="preserve"> </w:t>
      </w:r>
      <w:r w:rsidR="00575CC3">
        <w:t>charitable</w:t>
      </w:r>
      <w:r w:rsidR="009D7DF2">
        <w:t xml:space="preserve"> funds must do so in good faith and with the care that an ordinarily prudent person in a like position would exercise under similar circumstances</w:t>
      </w:r>
      <w:r w:rsidR="00C21826">
        <w:t xml:space="preserve">. </w:t>
      </w:r>
      <w:r w:rsidR="009D7DF2">
        <w:t xml:space="preserve">In making any decision relative to the expenditure of </w:t>
      </w:r>
      <w:r w:rsidR="00575CC3">
        <w:t>charitable</w:t>
      </w:r>
      <w:r w:rsidR="009D7DF2">
        <w:t xml:space="preserve"> funds, each of the following factors must be considered, and properly documented, in the minutes or other records of the applicable decision-making body: </w:t>
      </w:r>
    </w:p>
    <w:p w:rsidR="009D6627" w:rsidRDefault="009D7DF2">
      <w:pPr>
        <w:spacing w:after="34" w:line="259" w:lineRule="auto"/>
        <w:ind w:left="21" w:right="0" w:firstLine="0"/>
        <w:jc w:val="left"/>
      </w:pPr>
      <w:r>
        <w:t xml:space="preserve"> </w:t>
      </w:r>
    </w:p>
    <w:p w:rsidR="009D6627" w:rsidRDefault="009D7DF2">
      <w:pPr>
        <w:numPr>
          <w:ilvl w:val="0"/>
          <w:numId w:val="5"/>
        </w:numPr>
        <w:spacing w:after="142"/>
        <w:ind w:right="37" w:hanging="360"/>
      </w:pPr>
      <w:r>
        <w:t xml:space="preserve">general economic conditions;  </w:t>
      </w:r>
    </w:p>
    <w:p w:rsidR="009D6627" w:rsidRDefault="009D7DF2">
      <w:pPr>
        <w:numPr>
          <w:ilvl w:val="0"/>
          <w:numId w:val="5"/>
        </w:numPr>
        <w:spacing w:after="143"/>
        <w:ind w:right="37" w:hanging="360"/>
      </w:pPr>
      <w:r>
        <w:t xml:space="preserve">possible effect of inflation or deflation; </w:t>
      </w:r>
    </w:p>
    <w:p w:rsidR="009D6627" w:rsidRDefault="009D7DF2">
      <w:pPr>
        <w:numPr>
          <w:ilvl w:val="0"/>
          <w:numId w:val="5"/>
        </w:numPr>
        <w:spacing w:after="143"/>
        <w:ind w:right="37" w:hanging="360"/>
      </w:pPr>
      <w:r>
        <w:t xml:space="preserve">expected tax consequences, if any, of investment decisions or strategies; </w:t>
      </w:r>
    </w:p>
    <w:p w:rsidR="009D6627" w:rsidRDefault="009D7DF2">
      <w:pPr>
        <w:numPr>
          <w:ilvl w:val="0"/>
          <w:numId w:val="5"/>
        </w:numPr>
        <w:spacing w:after="149"/>
        <w:ind w:right="37" w:hanging="360"/>
      </w:pPr>
      <w:r>
        <w:t xml:space="preserve">the role that each investment or course of action plays within the overall investment portfolio of the fund; </w:t>
      </w:r>
    </w:p>
    <w:p w:rsidR="009D6627" w:rsidRDefault="009D7DF2">
      <w:pPr>
        <w:numPr>
          <w:ilvl w:val="0"/>
          <w:numId w:val="5"/>
        </w:numPr>
        <w:spacing w:after="142"/>
        <w:ind w:right="37" w:hanging="360"/>
      </w:pPr>
      <w:r>
        <w:t xml:space="preserve">expected total return from the income and appreciation of investments; </w:t>
      </w:r>
    </w:p>
    <w:p w:rsidR="009D6627" w:rsidRDefault="009D7DF2">
      <w:pPr>
        <w:numPr>
          <w:ilvl w:val="0"/>
          <w:numId w:val="5"/>
        </w:numPr>
        <w:spacing w:after="143"/>
        <w:ind w:right="37" w:hanging="360"/>
      </w:pPr>
      <w:r>
        <w:t xml:space="preserve">other resources of the organization; </w:t>
      </w:r>
    </w:p>
    <w:p w:rsidR="009D6627" w:rsidRDefault="009D7DF2">
      <w:pPr>
        <w:numPr>
          <w:ilvl w:val="0"/>
          <w:numId w:val="5"/>
        </w:numPr>
        <w:spacing w:after="143"/>
        <w:ind w:right="37" w:hanging="360"/>
      </w:pPr>
      <w:r>
        <w:t xml:space="preserve">the needs of the organization and the fund to make distributions and preserve capital; and, </w:t>
      </w:r>
    </w:p>
    <w:p w:rsidR="009D6627" w:rsidRDefault="009D7DF2">
      <w:pPr>
        <w:numPr>
          <w:ilvl w:val="0"/>
          <w:numId w:val="5"/>
        </w:numPr>
        <w:spacing w:after="83"/>
        <w:ind w:right="37" w:hanging="360"/>
      </w:pPr>
      <w:r>
        <w:t xml:space="preserve">an asset’s special relationship or special value, if any, to the organization’s purposes. </w:t>
      </w:r>
    </w:p>
    <w:p w:rsidR="009D6627" w:rsidRDefault="009D7DF2">
      <w:pPr>
        <w:spacing w:after="0" w:line="259" w:lineRule="auto"/>
        <w:ind w:left="21" w:right="0" w:firstLine="0"/>
        <w:jc w:val="left"/>
      </w:pPr>
      <w:r>
        <w:rPr>
          <w:b/>
        </w:rPr>
        <w:t xml:space="preserve"> </w:t>
      </w:r>
    </w:p>
    <w:p w:rsidR="009D6627" w:rsidRPr="00883EE6" w:rsidRDefault="009D7DF2">
      <w:pPr>
        <w:pStyle w:val="Heading2"/>
        <w:ind w:left="16"/>
        <w:rPr>
          <w:szCs w:val="24"/>
        </w:rPr>
      </w:pPr>
      <w:r w:rsidRPr="00883EE6">
        <w:rPr>
          <w:szCs w:val="24"/>
        </w:rPr>
        <w:t xml:space="preserve">Guidelines for Investing </w:t>
      </w:r>
    </w:p>
    <w:p w:rsidR="00C01DBB" w:rsidRPr="00883EE6" w:rsidRDefault="00C01DBB" w:rsidP="00C01DBB">
      <w:pPr>
        <w:rPr>
          <w:szCs w:val="24"/>
        </w:rPr>
      </w:pP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t>Investment Objectives:</w:t>
      </w:r>
      <w:r w:rsidRPr="00883EE6">
        <w:rPr>
          <w:rFonts w:eastAsia="Times New Roman" w:cs="Helvetica"/>
          <w:color w:val="222222"/>
          <w:szCs w:val="24"/>
        </w:rPr>
        <w:t xml:space="preserve">  Balanced Growth with emphasis on capital appreciation over current income.  Returns should exceed the totals of the spending rate, inflation, management fees and a modest increment for growth.   The </w:t>
      </w:r>
      <w:r w:rsidR="00F7424C">
        <w:rPr>
          <w:rFonts w:eastAsia="Times New Roman" w:cs="Helvetica"/>
          <w:color w:val="222222"/>
          <w:szCs w:val="24"/>
        </w:rPr>
        <w:t>Charitable funds</w:t>
      </w:r>
      <w:r w:rsidRPr="00883EE6">
        <w:rPr>
          <w:rFonts w:eastAsia="Times New Roman" w:cs="Helvetica"/>
          <w:color w:val="222222"/>
          <w:szCs w:val="24"/>
        </w:rPr>
        <w:t xml:space="preserve"> will have professional outside management to avoid any conflicts of interest and achieve the desired rates of return.</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color w:val="222222"/>
          <w:szCs w:val="24"/>
        </w:rPr>
        <w:t>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t>Risk Tolerance:</w:t>
      </w:r>
      <w:r w:rsidRPr="00883EE6">
        <w:rPr>
          <w:rFonts w:eastAsia="Times New Roman" w:cs="Helvetica"/>
          <w:color w:val="222222"/>
          <w:szCs w:val="24"/>
        </w:rPr>
        <w:t> Moderate with acknowledgement of potential for large losses in the short term.</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color w:val="222222"/>
          <w:szCs w:val="24"/>
        </w:rPr>
        <w:t>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t>Time Horizon:</w:t>
      </w:r>
      <w:r w:rsidRPr="00883EE6">
        <w:rPr>
          <w:rFonts w:eastAsia="Times New Roman" w:cs="Helvetica"/>
          <w:color w:val="222222"/>
          <w:szCs w:val="24"/>
        </w:rPr>
        <w:t>  Long term.  Greater than ten years.</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color w:val="222222"/>
          <w:szCs w:val="24"/>
        </w:rPr>
        <w:t>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t>Asset Allocation Strategies:</w:t>
      </w:r>
      <w:r w:rsidR="00D14612">
        <w:rPr>
          <w:rFonts w:eastAsia="Times New Roman" w:cs="Helvetica"/>
          <w:color w:val="222222"/>
          <w:szCs w:val="24"/>
        </w:rPr>
        <w:t xml:space="preserve"> A</w:t>
      </w:r>
      <w:r w:rsidRPr="00883EE6">
        <w:rPr>
          <w:rFonts w:eastAsia="Times New Roman" w:cs="Helvetica"/>
          <w:color w:val="222222"/>
          <w:szCs w:val="24"/>
        </w:rPr>
        <w:t xml:space="preserve"> single, re</w:t>
      </w:r>
      <w:r w:rsidR="00D14612">
        <w:rPr>
          <w:rFonts w:eastAsia="Times New Roman" w:cs="Helvetica"/>
          <w:color w:val="222222"/>
          <w:szCs w:val="24"/>
        </w:rPr>
        <w:t>cognized fund manager</w:t>
      </w:r>
      <w:r w:rsidRPr="00883EE6">
        <w:rPr>
          <w:rFonts w:eastAsia="Times New Roman" w:cs="Helvetica"/>
          <w:color w:val="222222"/>
          <w:szCs w:val="24"/>
        </w:rPr>
        <w:t xml:space="preserve"> will be used to invest the </w:t>
      </w:r>
      <w:r w:rsidR="00F7424C">
        <w:rPr>
          <w:rFonts w:eastAsia="Times New Roman" w:cs="Helvetica"/>
          <w:color w:val="222222"/>
          <w:szCs w:val="24"/>
        </w:rPr>
        <w:t>Charitable funds</w:t>
      </w:r>
      <w:r w:rsidRPr="00883EE6">
        <w:rPr>
          <w:rFonts w:eastAsia="Times New Roman" w:cs="Helvetica"/>
          <w:color w:val="222222"/>
          <w:szCs w:val="24"/>
        </w:rPr>
        <w:t xml:space="preserve">, with the asset class diversification that matches our goal of very </w:t>
      </w:r>
      <w:r w:rsidR="00C21826" w:rsidRPr="00883EE6">
        <w:rPr>
          <w:rFonts w:eastAsia="Times New Roman" w:cs="Helvetica"/>
          <w:color w:val="222222"/>
          <w:szCs w:val="24"/>
        </w:rPr>
        <w:t>long-term</w:t>
      </w:r>
      <w:r w:rsidRPr="00883EE6">
        <w:rPr>
          <w:rFonts w:eastAsia="Times New Roman" w:cs="Helvetica"/>
          <w:color w:val="222222"/>
          <w:szCs w:val="24"/>
        </w:rPr>
        <w:t xml:space="preserve"> growth with moderate risk.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color w:val="222222"/>
          <w:szCs w:val="24"/>
        </w:rPr>
        <w:t>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t>Liquidity Needs:</w:t>
      </w:r>
      <w:r w:rsidRPr="00883EE6">
        <w:rPr>
          <w:rFonts w:eastAsia="Times New Roman" w:cs="Helvetica"/>
          <w:color w:val="222222"/>
          <w:szCs w:val="24"/>
        </w:rPr>
        <w:t> Funds available for distribution will be maintained in the</w:t>
      </w:r>
      <w:r w:rsidR="00D14612">
        <w:rPr>
          <w:rFonts w:eastAsia="Times New Roman" w:cs="Helvetica"/>
          <w:color w:val="222222"/>
          <w:szCs w:val="24"/>
        </w:rPr>
        <w:t xml:space="preserve"> checking account of the Fund.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color w:val="222222"/>
          <w:szCs w:val="24"/>
        </w:rPr>
        <w:t> </w:t>
      </w:r>
    </w:p>
    <w:p w:rsidR="00C01DBB" w:rsidRDefault="00C01DBB" w:rsidP="00D14612">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t>Permissible Investments:</w:t>
      </w:r>
      <w:r w:rsidRPr="00883EE6">
        <w:rPr>
          <w:rFonts w:eastAsia="Times New Roman" w:cs="Helvetica"/>
          <w:color w:val="222222"/>
          <w:szCs w:val="24"/>
        </w:rPr>
        <w:t xml:space="preserve"> Mutual Funds, Exchange Traded Funds (“ETFs”) and Target Date Funds can be used to provide good asset class diversification.   Individual stocks or bonds will not be held in the account and any received as gifts will be immediately sold with proceeds invested.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t>Diversification:</w:t>
      </w:r>
      <w:r w:rsidRPr="00883EE6">
        <w:rPr>
          <w:rFonts w:eastAsia="Times New Roman" w:cs="Helvetica"/>
          <w:color w:val="222222"/>
          <w:szCs w:val="24"/>
        </w:rPr>
        <w:t>  There may be just one fund or ETF but the underlying investments should be diversified by asset class and sub-asset class.</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color w:val="222222"/>
          <w:szCs w:val="24"/>
        </w:rPr>
        <w:t> </w:t>
      </w:r>
    </w:p>
    <w:p w:rsidR="00C01DBB" w:rsidRPr="00883EE6" w:rsidRDefault="00C01DBB" w:rsidP="00C01DBB">
      <w:pPr>
        <w:shd w:val="clear" w:color="auto" w:fill="FFFFFF"/>
        <w:spacing w:after="0" w:line="240" w:lineRule="auto"/>
        <w:ind w:left="0" w:right="0" w:firstLine="0"/>
        <w:jc w:val="left"/>
        <w:rPr>
          <w:rFonts w:eastAsia="Times New Roman" w:cs="Helvetica"/>
          <w:color w:val="222222"/>
          <w:szCs w:val="24"/>
        </w:rPr>
      </w:pPr>
      <w:r w:rsidRPr="00883EE6">
        <w:rPr>
          <w:rFonts w:eastAsia="Times New Roman" w:cs="Helvetica"/>
          <w:bCs/>
          <w:color w:val="222222"/>
          <w:szCs w:val="24"/>
        </w:rPr>
        <w:lastRenderedPageBreak/>
        <w:t>Performance Measurement:</w:t>
      </w:r>
      <w:r w:rsidRPr="00883EE6">
        <w:rPr>
          <w:rFonts w:eastAsia="Times New Roman" w:cs="Helvetica"/>
          <w:color w:val="222222"/>
          <w:szCs w:val="24"/>
        </w:rPr>
        <w:t> Traditional blended benchmarks for funds with similar asset allocations will be used to compare investment returns to the goals and objectives.  Also returns will be compared with the Consumer Price Index for the relevant periods.</w:t>
      </w:r>
    </w:p>
    <w:p w:rsidR="009D6627" w:rsidRPr="00883EE6" w:rsidRDefault="00C01DBB" w:rsidP="00D14612">
      <w:pPr>
        <w:shd w:val="clear" w:color="auto" w:fill="FFFFFF"/>
        <w:spacing w:after="0" w:line="240" w:lineRule="auto"/>
        <w:ind w:left="0" w:right="0" w:firstLine="0"/>
        <w:jc w:val="left"/>
        <w:rPr>
          <w:szCs w:val="24"/>
        </w:rPr>
      </w:pPr>
      <w:r w:rsidRPr="00883EE6">
        <w:rPr>
          <w:rFonts w:eastAsia="Times New Roman" w:cs="Helvetica"/>
          <w:color w:val="222222"/>
          <w:szCs w:val="24"/>
        </w:rPr>
        <w:t> </w:t>
      </w:r>
    </w:p>
    <w:p w:rsidR="009D6627" w:rsidRPr="00883EE6" w:rsidRDefault="009D7DF2">
      <w:pPr>
        <w:pStyle w:val="Heading2"/>
        <w:ind w:left="16"/>
        <w:rPr>
          <w:szCs w:val="24"/>
        </w:rPr>
      </w:pPr>
      <w:r w:rsidRPr="00883EE6">
        <w:rPr>
          <w:szCs w:val="24"/>
        </w:rPr>
        <w:t xml:space="preserve">Expenditure of </w:t>
      </w:r>
      <w:r w:rsidR="00575CC3" w:rsidRPr="00883EE6">
        <w:rPr>
          <w:szCs w:val="24"/>
        </w:rPr>
        <w:t>Charitable</w:t>
      </w:r>
      <w:r w:rsidRPr="00883EE6">
        <w:rPr>
          <w:szCs w:val="24"/>
        </w:rPr>
        <w:t xml:space="preserve"> Funds </w:t>
      </w:r>
    </w:p>
    <w:p w:rsidR="009D6627" w:rsidRPr="00883EE6" w:rsidRDefault="009D7DF2">
      <w:pPr>
        <w:spacing w:after="188"/>
        <w:ind w:right="37"/>
        <w:rPr>
          <w:szCs w:val="24"/>
        </w:rPr>
      </w:pPr>
      <w:r w:rsidRPr="00883EE6">
        <w:rPr>
          <w:szCs w:val="24"/>
        </w:rPr>
        <w:t xml:space="preserve">All decisions relative to the expenditure of </w:t>
      </w:r>
      <w:r w:rsidR="00575CC3" w:rsidRPr="00883EE6">
        <w:rPr>
          <w:szCs w:val="24"/>
        </w:rPr>
        <w:t>charitable</w:t>
      </w:r>
      <w:r w:rsidRPr="00883EE6">
        <w:rPr>
          <w:szCs w:val="24"/>
        </w:rPr>
        <w:t xml:space="preserve"> funds must assess the uses, benefits, </w:t>
      </w:r>
      <w:r w:rsidR="00C21826" w:rsidRPr="00883EE6">
        <w:rPr>
          <w:szCs w:val="24"/>
        </w:rPr>
        <w:t>purposes,</w:t>
      </w:r>
      <w:r w:rsidRPr="00883EE6">
        <w:rPr>
          <w:szCs w:val="24"/>
        </w:rPr>
        <w:t xml:space="preserve"> and duration for which the </w:t>
      </w:r>
      <w:r w:rsidR="00575CC3" w:rsidRPr="00883EE6">
        <w:rPr>
          <w:szCs w:val="24"/>
        </w:rPr>
        <w:t>charitable</w:t>
      </w:r>
      <w:r w:rsidR="00D14612">
        <w:rPr>
          <w:szCs w:val="24"/>
        </w:rPr>
        <w:t xml:space="preserve"> fund was established</w:t>
      </w:r>
      <w:r w:rsidRPr="00883EE6">
        <w:rPr>
          <w:szCs w:val="24"/>
        </w:rPr>
        <w:t xml:space="preserve">: </w:t>
      </w:r>
    </w:p>
    <w:p w:rsidR="009D6627" w:rsidRDefault="009D7DF2">
      <w:pPr>
        <w:spacing w:after="128"/>
        <w:ind w:right="37"/>
        <w:rPr>
          <w:szCs w:val="24"/>
        </w:rPr>
      </w:pPr>
      <w:r w:rsidRPr="00883EE6">
        <w:rPr>
          <w:szCs w:val="24"/>
        </w:rPr>
        <w:t xml:space="preserve">For each decision to appropriate </w:t>
      </w:r>
      <w:r w:rsidR="00575CC3" w:rsidRPr="00883EE6">
        <w:rPr>
          <w:szCs w:val="24"/>
        </w:rPr>
        <w:t>charitable</w:t>
      </w:r>
      <w:r w:rsidRPr="00883EE6">
        <w:rPr>
          <w:szCs w:val="24"/>
        </w:rPr>
        <w:t xml:space="preserve"> funds for expenditure, an appropriate contemporaneous record should be kept and maintained describing the nature and extent of the consideration that the appropriate body gave to each of the stipulated factors</w:t>
      </w:r>
      <w:r w:rsidR="00C21826" w:rsidRPr="00883EE6">
        <w:rPr>
          <w:szCs w:val="24"/>
        </w:rPr>
        <w:t xml:space="preserve">. </w:t>
      </w:r>
    </w:p>
    <w:p w:rsidR="005E5FC3" w:rsidRDefault="005E5FC3">
      <w:pPr>
        <w:ind w:right="37"/>
        <w:rPr>
          <w:szCs w:val="24"/>
        </w:rPr>
      </w:pPr>
    </w:p>
    <w:p w:rsidR="005E5FC3" w:rsidRPr="00A51CC2" w:rsidRDefault="005E5FC3">
      <w:pPr>
        <w:ind w:right="37"/>
        <w:rPr>
          <w:b/>
          <w:szCs w:val="24"/>
        </w:rPr>
      </w:pPr>
      <w:r w:rsidRPr="00A51CC2">
        <w:rPr>
          <w:b/>
          <w:szCs w:val="24"/>
        </w:rPr>
        <w:t xml:space="preserve">Approved by Board: </w:t>
      </w:r>
      <w:r w:rsidR="00A51CC2" w:rsidRPr="00A51CC2">
        <w:rPr>
          <w:b/>
          <w:szCs w:val="24"/>
        </w:rPr>
        <w:t>Nov 4, 2020</w:t>
      </w:r>
    </w:p>
    <w:p w:rsidR="009D6627" w:rsidRPr="00883EE6" w:rsidRDefault="009D7DF2">
      <w:pPr>
        <w:spacing w:after="0" w:line="259" w:lineRule="auto"/>
        <w:ind w:left="21" w:right="0" w:firstLine="0"/>
        <w:jc w:val="left"/>
        <w:rPr>
          <w:szCs w:val="24"/>
        </w:rPr>
      </w:pPr>
      <w:r w:rsidRPr="00883EE6">
        <w:rPr>
          <w:szCs w:val="24"/>
        </w:rPr>
        <w:t xml:space="preserve"> </w:t>
      </w:r>
    </w:p>
    <w:p w:rsidR="009D6627" w:rsidRPr="00883EE6" w:rsidRDefault="009D7DF2">
      <w:pPr>
        <w:spacing w:after="0" w:line="259" w:lineRule="auto"/>
        <w:ind w:left="21" w:right="0" w:firstLine="0"/>
        <w:jc w:val="left"/>
        <w:rPr>
          <w:szCs w:val="24"/>
        </w:rPr>
      </w:pPr>
      <w:r w:rsidRPr="00883EE6">
        <w:rPr>
          <w:i/>
          <w:szCs w:val="24"/>
        </w:rPr>
        <w:t xml:space="preserve"> </w:t>
      </w:r>
    </w:p>
    <w:sectPr w:rsidR="009D6627" w:rsidRPr="00883EE6">
      <w:headerReference w:type="even" r:id="rId7"/>
      <w:headerReference w:type="default" r:id="rId8"/>
      <w:footerReference w:type="even" r:id="rId9"/>
      <w:footerReference w:type="default" r:id="rId10"/>
      <w:headerReference w:type="first" r:id="rId11"/>
      <w:footerReference w:type="first" r:id="rId12"/>
      <w:pgSz w:w="12240" w:h="15840"/>
      <w:pgMar w:top="1003" w:right="961" w:bottom="1812" w:left="987" w:header="73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9E1" w:rsidRDefault="000E09E1">
      <w:pPr>
        <w:spacing w:after="0" w:line="240" w:lineRule="auto"/>
      </w:pPr>
      <w:r>
        <w:separator/>
      </w:r>
    </w:p>
  </w:endnote>
  <w:endnote w:type="continuationSeparator" w:id="0">
    <w:p w:rsidR="000E09E1" w:rsidRDefault="000E0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27" w:rsidRDefault="009D7DF2">
    <w:pPr>
      <w:tabs>
        <w:tab w:val="right" w:pos="10292"/>
      </w:tabs>
      <w:spacing w:after="455"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D6627" w:rsidRDefault="009D7DF2">
    <w:pPr>
      <w:spacing w:after="0" w:line="259" w:lineRule="auto"/>
      <w:ind w:left="1495" w:right="0" w:firstLine="0"/>
      <w:jc w:val="left"/>
    </w:pPr>
    <w:r>
      <w:rPr>
        <w:noProof/>
      </w:rPr>
      <w:drawing>
        <wp:anchor distT="0" distB="0" distL="114300" distR="114300" simplePos="0" relativeHeight="251658240" behindDoc="0" locked="0" layoutInCell="1" allowOverlap="0">
          <wp:simplePos x="0" y="0"/>
          <wp:positionH relativeFrom="page">
            <wp:posOffset>1576070</wp:posOffset>
          </wp:positionH>
          <wp:positionV relativeFrom="page">
            <wp:posOffset>9151620</wp:posOffset>
          </wp:positionV>
          <wp:extent cx="1104900" cy="41148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04900" cy="411480"/>
                  </a:xfrm>
                  <a:prstGeom prst="rect">
                    <a:avLst/>
                  </a:prstGeom>
                </pic:spPr>
              </pic:pic>
            </a:graphicData>
          </a:graphic>
        </wp:anchor>
      </w:drawing>
    </w:r>
    <w:r>
      <w:rPr>
        <w:rFonts w:ascii="Times New Roman" w:eastAsia="Times New Roman" w:hAnsi="Times New Roman" w:cs="Times New Roman"/>
        <w:sz w:val="20"/>
      </w:rPr>
      <w:t xml:space="preserve">     New York Council of Nonprofits ©2014     </w:t>
    </w:r>
    <w:r>
      <w:rPr>
        <w:rFonts w:ascii="Calibri" w:eastAsia="Calibri" w:hAnsi="Calibri" w:cs="Calibri"/>
        <w:color w:val="0000FF"/>
        <w:sz w:val="22"/>
        <w:u w:val="single" w:color="0000FF"/>
      </w:rPr>
      <w:t>www.nycon.org</w:t>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27" w:rsidRDefault="00C01DBB" w:rsidP="00C01DBB">
    <w:pPr>
      <w:tabs>
        <w:tab w:val="right" w:pos="10292"/>
      </w:tabs>
      <w:spacing w:after="455" w:line="259" w:lineRule="auto"/>
      <w:ind w:left="0" w:right="0" w:firstLine="0"/>
      <w:jc w:val="left"/>
    </w:pPr>
    <w:r>
      <w:rPr>
        <w:rFonts w:ascii="Times New Roman" w:eastAsia="Times New Roman" w:hAnsi="Times New Roman" w:cs="Times New Roman"/>
        <w:sz w:val="20"/>
      </w:rPr>
      <w:t>9/28/2020</w:t>
    </w:r>
    <w:r w:rsidR="009D7DF2">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27" w:rsidRDefault="009D7DF2">
    <w:pPr>
      <w:tabs>
        <w:tab w:val="right" w:pos="10292"/>
      </w:tabs>
      <w:spacing w:after="455"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D6627" w:rsidRDefault="009D7DF2">
    <w:pPr>
      <w:spacing w:after="0" w:line="259" w:lineRule="auto"/>
      <w:ind w:left="1495" w:right="0" w:firstLine="0"/>
      <w:jc w:val="left"/>
    </w:pPr>
    <w:r>
      <w:rPr>
        <w:noProof/>
      </w:rPr>
      <w:drawing>
        <wp:anchor distT="0" distB="0" distL="114300" distR="114300" simplePos="0" relativeHeight="251660288" behindDoc="0" locked="0" layoutInCell="1" allowOverlap="0">
          <wp:simplePos x="0" y="0"/>
          <wp:positionH relativeFrom="page">
            <wp:posOffset>1576070</wp:posOffset>
          </wp:positionH>
          <wp:positionV relativeFrom="page">
            <wp:posOffset>9151620</wp:posOffset>
          </wp:positionV>
          <wp:extent cx="1104900" cy="41148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104900" cy="411480"/>
                  </a:xfrm>
                  <a:prstGeom prst="rect">
                    <a:avLst/>
                  </a:prstGeom>
                </pic:spPr>
              </pic:pic>
            </a:graphicData>
          </a:graphic>
        </wp:anchor>
      </w:drawing>
    </w:r>
    <w:r>
      <w:rPr>
        <w:rFonts w:ascii="Times New Roman" w:eastAsia="Times New Roman" w:hAnsi="Times New Roman" w:cs="Times New Roman"/>
        <w:sz w:val="20"/>
      </w:rPr>
      <w:t xml:space="preserve">     New York Council of Nonprofits ©2014     </w:t>
    </w:r>
    <w:r>
      <w:rPr>
        <w:rFonts w:ascii="Calibri" w:eastAsia="Calibri" w:hAnsi="Calibri" w:cs="Calibri"/>
        <w:color w:val="0000FF"/>
        <w:sz w:val="22"/>
        <w:u w:val="single" w:color="0000FF"/>
      </w:rPr>
      <w:t>www.nycon.org</w:t>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9E1" w:rsidRDefault="000E09E1">
      <w:pPr>
        <w:spacing w:after="0" w:line="240" w:lineRule="auto"/>
      </w:pPr>
      <w:r>
        <w:separator/>
      </w:r>
    </w:p>
  </w:footnote>
  <w:footnote w:type="continuationSeparator" w:id="0">
    <w:p w:rsidR="000E09E1" w:rsidRDefault="000E0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27" w:rsidRDefault="009D7DF2">
    <w:pPr>
      <w:tabs>
        <w:tab w:val="center" w:pos="4342"/>
        <w:tab w:val="center" w:pos="8663"/>
        <w:tab w:val="center" w:pos="959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Draft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27" w:rsidRPr="009D7DF2" w:rsidRDefault="00C01DBB">
    <w:pPr>
      <w:tabs>
        <w:tab w:val="center" w:pos="4342"/>
        <w:tab w:val="center" w:pos="8663"/>
        <w:tab w:val="center" w:pos="9593"/>
      </w:tabs>
      <w:spacing w:after="0" w:line="259" w:lineRule="auto"/>
      <w:ind w:left="0" w:right="0" w:firstLine="0"/>
      <w:jc w:val="left"/>
      <w:rPr>
        <w:color w:val="FF0000"/>
      </w:rPr>
    </w:pPr>
    <w:r w:rsidRPr="00C01DBB">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simplePos x="0" y="0"/>
              <wp:positionH relativeFrom="rightMargin">
                <wp:align>left</wp:align>
              </wp:positionH>
              <wp:positionV relativeFrom="page">
                <wp:posOffset>934516</wp:posOffset>
              </wp:positionV>
              <wp:extent cx="477520" cy="47752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01DBB" w:rsidRDefault="00C01DBB">
                          <w:pPr>
                            <w:rPr>
                              <w:rStyle w:val="PageNumber"/>
                              <w:color w:val="FFFFFF" w:themeColor="background1"/>
                              <w:szCs w:val="24"/>
                            </w:rPr>
                          </w:pPr>
                          <w:r>
                            <w:rPr>
                              <w:color w:val="auto"/>
                              <w:sz w:val="22"/>
                            </w:rPr>
                            <w:fldChar w:fldCharType="begin"/>
                          </w:r>
                          <w:r>
                            <w:instrText xml:space="preserve"> PAGE    \* MERGEFORMAT </w:instrText>
                          </w:r>
                          <w:r>
                            <w:rPr>
                              <w:color w:val="auto"/>
                              <w:sz w:val="22"/>
                            </w:rPr>
                            <w:fldChar w:fldCharType="separate"/>
                          </w:r>
                          <w:r w:rsidR="00883EAF" w:rsidRPr="00883EAF">
                            <w:rPr>
                              <w:rStyle w:val="PageNumber"/>
                              <w:b/>
                              <w:bCs/>
                              <w:noProof/>
                              <w:color w:val="FFFFFF" w:themeColor="background1"/>
                              <w:szCs w:val="24"/>
                            </w:rPr>
                            <w:t>1</w:t>
                          </w:r>
                          <w:r>
                            <w:rPr>
                              <w:rStyle w:val="PageNumber"/>
                              <w:b/>
                              <w:bCs/>
                              <w:noProof/>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0;margin-top:73.6pt;width:37.6pt;height:37.6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" o:allowincell="f" fillcolor="#9dbb61" stroked="f">
              <v:textbox inset="0,,0">
                <w:txbxContent>
                  <w:p w:rsidR="00C01DBB" w:rsidRDefault="00C01DBB">
                    <w:pPr>
                      <w:rPr>
                        <w:rStyle w:val="PageNumber"/>
                        <w:color w:val="FFFFFF" w:themeColor="background1"/>
                        <w:szCs w:val="24"/>
                      </w:rPr>
                    </w:pPr>
                    <w:r>
                      <w:rPr>
                        <w:color w:val="auto"/>
                        <w:sz w:val="22"/>
                      </w:rPr>
                      <w:fldChar w:fldCharType="begin"/>
                    </w:r>
                    <w:r>
                      <w:instrText xml:space="preserve"> PAGE    \* MERGEFORMAT </w:instrText>
                    </w:r>
                    <w:r>
                      <w:rPr>
                        <w:color w:val="auto"/>
                        <w:sz w:val="22"/>
                      </w:rPr>
                      <w:fldChar w:fldCharType="separate"/>
                    </w:r>
                    <w:r w:rsidR="00883EAF" w:rsidRPr="00883EAF">
                      <w:rPr>
                        <w:rStyle w:val="PageNumber"/>
                        <w:b/>
                        <w:bCs/>
                        <w:noProof/>
                        <w:color w:val="FFFFFF" w:themeColor="background1"/>
                        <w:szCs w:val="24"/>
                      </w:rPr>
                      <w:t>1</w:t>
                    </w:r>
                    <w:r>
                      <w:rPr>
                        <w:rStyle w:val="PageNumber"/>
                        <w:b/>
                        <w:bCs/>
                        <w:noProof/>
                        <w:color w:val="FFFFFF" w:themeColor="background1"/>
                        <w:szCs w:val="24"/>
                      </w:rPr>
                      <w:fldChar w:fldCharType="end"/>
                    </w:r>
                  </w:p>
                </w:txbxContent>
              </v:textbox>
              <w10:wrap anchorx="margin" anchory="page"/>
            </v:oval>
          </w:pict>
        </mc:Fallback>
      </mc:AlternateContent>
    </w:r>
    <w:r w:rsidR="009D7DF2">
      <w:rPr>
        <w:rFonts w:ascii="Times New Roman" w:eastAsia="Times New Roman" w:hAnsi="Times New Roman" w:cs="Times New Roman"/>
        <w:sz w:val="20"/>
      </w:rPr>
      <w:t xml:space="preserve"> </w:t>
    </w:r>
    <w:r w:rsidR="009D7DF2">
      <w:rPr>
        <w:rFonts w:ascii="Times New Roman" w:eastAsia="Times New Roman" w:hAnsi="Times New Roman" w:cs="Times New Roman"/>
        <w:sz w:val="20"/>
      </w:rPr>
      <w:tab/>
      <w:t xml:space="preserve"> </w:t>
    </w:r>
    <w:r w:rsidR="009D7DF2">
      <w:rPr>
        <w:rFonts w:ascii="Times New Roman" w:eastAsia="Times New Roman" w:hAnsi="Times New Roman" w:cs="Times New Roman"/>
        <w:sz w:val="20"/>
      </w:rPr>
      <w:tab/>
      <w:t xml:space="preserve"> </w:t>
    </w:r>
    <w:r w:rsidR="009D7DF2">
      <w:rPr>
        <w:rFonts w:ascii="Times New Roman" w:eastAsia="Times New Roman" w:hAnsi="Times New Roman" w:cs="Times New Roman"/>
        <w:sz w:val="20"/>
      </w:rPr>
      <w:tab/>
    </w:r>
    <w:r w:rsidR="009D7DF2" w:rsidRPr="009D7DF2">
      <w:rPr>
        <w:rFonts w:ascii="Times New Roman" w:eastAsia="Times New Roman" w:hAnsi="Times New Roman" w:cs="Times New Roman"/>
        <w:color w:val="FF0000"/>
        <w:sz w:val="20"/>
      </w:rPr>
      <w:t xml:space="preserve">Draft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627" w:rsidRDefault="009D7DF2">
    <w:pPr>
      <w:tabs>
        <w:tab w:val="center" w:pos="4342"/>
        <w:tab w:val="center" w:pos="8663"/>
        <w:tab w:val="center" w:pos="9593"/>
      </w:tabs>
      <w:spacing w:after="0"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CFF"/>
    <w:multiLevelType w:val="hybridMultilevel"/>
    <w:tmpl w:val="933AAE0C"/>
    <w:lvl w:ilvl="0" w:tplc="ADDC5954">
      <w:start w:val="1"/>
      <w:numFmt w:val="decimal"/>
      <w:lvlText w:val="%1."/>
      <w:lvlJc w:val="left"/>
      <w:pPr>
        <w:ind w:left="72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998A814">
      <w:start w:val="1"/>
      <w:numFmt w:val="lowerLetter"/>
      <w:lvlText w:val="%2"/>
      <w:lvlJc w:val="left"/>
      <w:pPr>
        <w:ind w:left="14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7AC3416">
      <w:start w:val="1"/>
      <w:numFmt w:val="lowerRoman"/>
      <w:lvlText w:val="%3"/>
      <w:lvlJc w:val="left"/>
      <w:pPr>
        <w:ind w:left="21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FCA971E">
      <w:start w:val="1"/>
      <w:numFmt w:val="decimal"/>
      <w:lvlText w:val="%4"/>
      <w:lvlJc w:val="left"/>
      <w:pPr>
        <w:ind w:left="29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48C83E4">
      <w:start w:val="1"/>
      <w:numFmt w:val="lowerLetter"/>
      <w:lvlText w:val="%5"/>
      <w:lvlJc w:val="left"/>
      <w:pPr>
        <w:ind w:left="362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780F5C0">
      <w:start w:val="1"/>
      <w:numFmt w:val="lowerRoman"/>
      <w:lvlText w:val="%6"/>
      <w:lvlJc w:val="left"/>
      <w:pPr>
        <w:ind w:left="434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E988268">
      <w:start w:val="1"/>
      <w:numFmt w:val="decimal"/>
      <w:lvlText w:val="%7"/>
      <w:lvlJc w:val="left"/>
      <w:pPr>
        <w:ind w:left="506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4245A6">
      <w:start w:val="1"/>
      <w:numFmt w:val="lowerLetter"/>
      <w:lvlText w:val="%8"/>
      <w:lvlJc w:val="left"/>
      <w:pPr>
        <w:ind w:left="578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C981466">
      <w:start w:val="1"/>
      <w:numFmt w:val="lowerRoman"/>
      <w:lvlText w:val="%9"/>
      <w:lvlJc w:val="left"/>
      <w:pPr>
        <w:ind w:left="650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66473"/>
    <w:multiLevelType w:val="hybridMultilevel"/>
    <w:tmpl w:val="BEE83DA2"/>
    <w:lvl w:ilvl="0" w:tplc="F2BE1280">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60656">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527BEC">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0E14D8">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E6B2DC">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086198">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EE6748">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A14B0">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90B95C">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C1E19"/>
    <w:multiLevelType w:val="hybridMultilevel"/>
    <w:tmpl w:val="A5D46A70"/>
    <w:lvl w:ilvl="0" w:tplc="ABCC5C5C">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C0DECA">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E5170">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3A5B50">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78B0C2">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AEF690">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24FFDE">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66BF96">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0AAD66">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05FB4"/>
    <w:multiLevelType w:val="hybridMultilevel"/>
    <w:tmpl w:val="011CE886"/>
    <w:lvl w:ilvl="0" w:tplc="A6E4EAC4">
      <w:numFmt w:val="bullet"/>
      <w:lvlText w:val=""/>
      <w:lvlJc w:val="left"/>
      <w:pPr>
        <w:ind w:left="727" w:hanging="360"/>
      </w:pPr>
      <w:rPr>
        <w:rFonts w:ascii="Symbol" w:eastAsia="Garamond" w:hAnsi="Symbol" w:cs="Garamond" w:hint="default"/>
      </w:rPr>
    </w:lvl>
    <w:lvl w:ilvl="1" w:tplc="04090003" w:tentative="1">
      <w:start w:val="1"/>
      <w:numFmt w:val="bullet"/>
      <w:lvlText w:val="o"/>
      <w:lvlJc w:val="left"/>
      <w:pPr>
        <w:ind w:left="1447" w:hanging="360"/>
      </w:pPr>
      <w:rPr>
        <w:rFonts w:ascii="Courier New" w:hAnsi="Courier New" w:cs="Courier New" w:hint="default"/>
      </w:rPr>
    </w:lvl>
    <w:lvl w:ilvl="2" w:tplc="04090005" w:tentative="1">
      <w:start w:val="1"/>
      <w:numFmt w:val="bullet"/>
      <w:lvlText w:val=""/>
      <w:lvlJc w:val="left"/>
      <w:pPr>
        <w:ind w:left="2167" w:hanging="360"/>
      </w:pPr>
      <w:rPr>
        <w:rFonts w:ascii="Wingdings" w:hAnsi="Wingdings" w:hint="default"/>
      </w:rPr>
    </w:lvl>
    <w:lvl w:ilvl="3" w:tplc="04090001" w:tentative="1">
      <w:start w:val="1"/>
      <w:numFmt w:val="bullet"/>
      <w:lvlText w:val=""/>
      <w:lvlJc w:val="left"/>
      <w:pPr>
        <w:ind w:left="2887" w:hanging="360"/>
      </w:pPr>
      <w:rPr>
        <w:rFonts w:ascii="Symbol" w:hAnsi="Symbol" w:hint="default"/>
      </w:rPr>
    </w:lvl>
    <w:lvl w:ilvl="4" w:tplc="04090003" w:tentative="1">
      <w:start w:val="1"/>
      <w:numFmt w:val="bullet"/>
      <w:lvlText w:val="o"/>
      <w:lvlJc w:val="left"/>
      <w:pPr>
        <w:ind w:left="3607" w:hanging="360"/>
      </w:pPr>
      <w:rPr>
        <w:rFonts w:ascii="Courier New" w:hAnsi="Courier New" w:cs="Courier New" w:hint="default"/>
      </w:rPr>
    </w:lvl>
    <w:lvl w:ilvl="5" w:tplc="04090005" w:tentative="1">
      <w:start w:val="1"/>
      <w:numFmt w:val="bullet"/>
      <w:lvlText w:val=""/>
      <w:lvlJc w:val="left"/>
      <w:pPr>
        <w:ind w:left="4327" w:hanging="360"/>
      </w:pPr>
      <w:rPr>
        <w:rFonts w:ascii="Wingdings" w:hAnsi="Wingdings" w:hint="default"/>
      </w:rPr>
    </w:lvl>
    <w:lvl w:ilvl="6" w:tplc="04090001" w:tentative="1">
      <w:start w:val="1"/>
      <w:numFmt w:val="bullet"/>
      <w:lvlText w:val=""/>
      <w:lvlJc w:val="left"/>
      <w:pPr>
        <w:ind w:left="5047" w:hanging="360"/>
      </w:pPr>
      <w:rPr>
        <w:rFonts w:ascii="Symbol" w:hAnsi="Symbol" w:hint="default"/>
      </w:rPr>
    </w:lvl>
    <w:lvl w:ilvl="7" w:tplc="04090003" w:tentative="1">
      <w:start w:val="1"/>
      <w:numFmt w:val="bullet"/>
      <w:lvlText w:val="o"/>
      <w:lvlJc w:val="left"/>
      <w:pPr>
        <w:ind w:left="5767" w:hanging="360"/>
      </w:pPr>
      <w:rPr>
        <w:rFonts w:ascii="Courier New" w:hAnsi="Courier New" w:cs="Courier New" w:hint="default"/>
      </w:rPr>
    </w:lvl>
    <w:lvl w:ilvl="8" w:tplc="04090005" w:tentative="1">
      <w:start w:val="1"/>
      <w:numFmt w:val="bullet"/>
      <w:lvlText w:val=""/>
      <w:lvlJc w:val="left"/>
      <w:pPr>
        <w:ind w:left="6487" w:hanging="360"/>
      </w:pPr>
      <w:rPr>
        <w:rFonts w:ascii="Wingdings" w:hAnsi="Wingdings" w:hint="default"/>
      </w:rPr>
    </w:lvl>
  </w:abstractNum>
  <w:abstractNum w:abstractNumId="4" w15:restartNumberingAfterBreak="0">
    <w:nsid w:val="22A13117"/>
    <w:multiLevelType w:val="hybridMultilevel"/>
    <w:tmpl w:val="18BA0AAE"/>
    <w:lvl w:ilvl="0" w:tplc="10A007FA">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F6B6CA">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826C3E">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BC17A0">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524DA2">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9293A8">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CADE04">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5E8CE6">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D811E8">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DC1012"/>
    <w:multiLevelType w:val="hybridMultilevel"/>
    <w:tmpl w:val="7762850A"/>
    <w:lvl w:ilvl="0" w:tplc="6D360B24">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ACC69A">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6C999A">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64DDF2">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FACE08">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D4673E">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4596A">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9E9A84">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927070">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10167E"/>
    <w:multiLevelType w:val="hybridMultilevel"/>
    <w:tmpl w:val="09181A2E"/>
    <w:lvl w:ilvl="0" w:tplc="BA42EF9A">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B465006">
      <w:start w:val="1"/>
      <w:numFmt w:val="lowerLetter"/>
      <w:lvlText w:val="%2"/>
      <w:lvlJc w:val="left"/>
      <w:pPr>
        <w:ind w:left="7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FBAFBD6">
      <w:start w:val="1"/>
      <w:numFmt w:val="lowerRoman"/>
      <w:lvlText w:val="%3"/>
      <w:lvlJc w:val="left"/>
      <w:pPr>
        <w:ind w:left="14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12317E">
      <w:start w:val="1"/>
      <w:numFmt w:val="decimal"/>
      <w:lvlText w:val="%4"/>
      <w:lvlJc w:val="left"/>
      <w:pPr>
        <w:ind w:left="21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96E0782">
      <w:start w:val="1"/>
      <w:numFmt w:val="lowerLetter"/>
      <w:lvlText w:val="%5"/>
      <w:lvlJc w:val="left"/>
      <w:pPr>
        <w:ind w:left="289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7900FEE">
      <w:start w:val="1"/>
      <w:numFmt w:val="lowerRoman"/>
      <w:lvlText w:val="%6"/>
      <w:lvlJc w:val="left"/>
      <w:pPr>
        <w:ind w:left="361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22EAD9A">
      <w:start w:val="1"/>
      <w:numFmt w:val="decimal"/>
      <w:lvlText w:val="%7"/>
      <w:lvlJc w:val="left"/>
      <w:pPr>
        <w:ind w:left="433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134F8FC">
      <w:start w:val="1"/>
      <w:numFmt w:val="lowerLetter"/>
      <w:lvlText w:val="%8"/>
      <w:lvlJc w:val="left"/>
      <w:pPr>
        <w:ind w:left="505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91CA578">
      <w:start w:val="1"/>
      <w:numFmt w:val="lowerRoman"/>
      <w:lvlText w:val="%9"/>
      <w:lvlJc w:val="left"/>
      <w:pPr>
        <w:ind w:left="5775"/>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D128E2"/>
    <w:multiLevelType w:val="hybridMultilevel"/>
    <w:tmpl w:val="5C32681A"/>
    <w:lvl w:ilvl="0" w:tplc="18D873D8">
      <w:start w:val="1"/>
      <w:numFmt w:val="bullet"/>
      <w:lvlText w:val="•"/>
      <w:lvlJc w:val="left"/>
      <w:pPr>
        <w:ind w:left="7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1B3A">
      <w:start w:val="1"/>
      <w:numFmt w:val="bullet"/>
      <w:lvlText w:val="o"/>
      <w:lvlJc w:val="left"/>
      <w:pPr>
        <w:ind w:left="1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2A7CDE">
      <w:start w:val="1"/>
      <w:numFmt w:val="bullet"/>
      <w:lvlText w:val="▪"/>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0BD46">
      <w:start w:val="1"/>
      <w:numFmt w:val="bullet"/>
      <w:lvlText w:val="•"/>
      <w:lvlJc w:val="left"/>
      <w:pPr>
        <w:ind w:left="2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08E48">
      <w:start w:val="1"/>
      <w:numFmt w:val="bullet"/>
      <w:lvlText w:val="o"/>
      <w:lvlJc w:val="left"/>
      <w:pPr>
        <w:ind w:left="3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24B360">
      <w:start w:val="1"/>
      <w:numFmt w:val="bullet"/>
      <w:lvlText w:val="▪"/>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DE4344">
      <w:start w:val="1"/>
      <w:numFmt w:val="bullet"/>
      <w:lvlText w:val="•"/>
      <w:lvlJc w:val="left"/>
      <w:pPr>
        <w:ind w:left="5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708E28">
      <w:start w:val="1"/>
      <w:numFmt w:val="bullet"/>
      <w:lvlText w:val="o"/>
      <w:lvlJc w:val="left"/>
      <w:pPr>
        <w:ind w:left="5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FA906E">
      <w:start w:val="1"/>
      <w:numFmt w:val="bullet"/>
      <w:lvlText w:val="▪"/>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4F59EF"/>
    <w:multiLevelType w:val="hybridMultilevel"/>
    <w:tmpl w:val="DF3EF61A"/>
    <w:lvl w:ilvl="0" w:tplc="BA0C0936">
      <w:numFmt w:val="bullet"/>
      <w:lvlText w:val=""/>
      <w:lvlJc w:val="left"/>
      <w:pPr>
        <w:ind w:left="1080" w:hanging="360"/>
      </w:pPr>
      <w:rPr>
        <w:rFonts w:ascii="Symbol" w:eastAsia="Garamond" w:hAnsi="Symbol"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0"/>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7"/>
    <w:rsid w:val="000E09E1"/>
    <w:rsid w:val="00132BB1"/>
    <w:rsid w:val="001E11DC"/>
    <w:rsid w:val="00450658"/>
    <w:rsid w:val="004E4EC9"/>
    <w:rsid w:val="00575CC3"/>
    <w:rsid w:val="005E5FC3"/>
    <w:rsid w:val="00873E4B"/>
    <w:rsid w:val="00883EAF"/>
    <w:rsid w:val="00883EE6"/>
    <w:rsid w:val="009D6627"/>
    <w:rsid w:val="009D7DF2"/>
    <w:rsid w:val="00A51CC2"/>
    <w:rsid w:val="00C01DBB"/>
    <w:rsid w:val="00C21826"/>
    <w:rsid w:val="00CB1FF6"/>
    <w:rsid w:val="00D14612"/>
    <w:rsid w:val="00F7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E5141"/>
  <w15:docId w15:val="{BB165C70-E31B-4D0D-8467-B5CE576A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31" w:right="45" w:hanging="10"/>
      <w:jc w:val="both"/>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Garamond" w:eastAsia="Garamond" w:hAnsi="Garamond" w:cs="Garamond"/>
      <w:b/>
      <w:color w:val="000000"/>
      <w:sz w:val="25"/>
    </w:rPr>
  </w:style>
  <w:style w:type="paragraph" w:styleId="Heading2">
    <w:name w:val="heading 2"/>
    <w:next w:val="Normal"/>
    <w:link w:val="Heading2Char"/>
    <w:uiPriority w:val="9"/>
    <w:unhideWhenUsed/>
    <w:qFormat/>
    <w:pPr>
      <w:keepNext/>
      <w:keepLines/>
      <w:spacing w:after="3"/>
      <w:ind w:left="31" w:hanging="10"/>
      <w:outlineLvl w:val="1"/>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5"/>
    </w:rPr>
  </w:style>
  <w:style w:type="character" w:customStyle="1" w:styleId="Heading2Char">
    <w:name w:val="Heading 2 Char"/>
    <w:link w:val="Heading2"/>
    <w:rPr>
      <w:rFonts w:ascii="Garamond" w:eastAsia="Garamond" w:hAnsi="Garamond" w:cs="Garamond"/>
      <w:b/>
      <w:color w:val="000000"/>
      <w:sz w:val="24"/>
    </w:rPr>
  </w:style>
  <w:style w:type="character" w:styleId="PageNumber">
    <w:name w:val="page number"/>
    <w:basedOn w:val="DefaultParagraphFont"/>
    <w:uiPriority w:val="99"/>
    <w:unhideWhenUsed/>
    <w:rsid w:val="00C01DBB"/>
  </w:style>
  <w:style w:type="paragraph" w:styleId="ListParagraph">
    <w:name w:val="List Paragraph"/>
    <w:basedOn w:val="Normal"/>
    <w:uiPriority w:val="34"/>
    <w:qFormat/>
    <w:rsid w:val="00883E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270568">
      <w:bodyDiv w:val="1"/>
      <w:marLeft w:val="0"/>
      <w:marRight w:val="0"/>
      <w:marTop w:val="0"/>
      <w:marBottom w:val="0"/>
      <w:divBdr>
        <w:top w:val="none" w:sz="0" w:space="0" w:color="auto"/>
        <w:left w:val="none" w:sz="0" w:space="0" w:color="auto"/>
        <w:bottom w:val="none" w:sz="0" w:space="0" w:color="auto"/>
        <w:right w:val="none" w:sz="0" w:space="0" w:color="auto"/>
      </w:divBdr>
      <w:divsChild>
        <w:div w:id="1554851279">
          <w:marLeft w:val="0"/>
          <w:marRight w:val="0"/>
          <w:marTop w:val="0"/>
          <w:marBottom w:val="0"/>
          <w:divBdr>
            <w:top w:val="none" w:sz="0" w:space="0" w:color="auto"/>
            <w:left w:val="none" w:sz="0" w:space="0" w:color="auto"/>
            <w:bottom w:val="none" w:sz="0" w:space="0" w:color="auto"/>
            <w:right w:val="none" w:sz="0" w:space="0" w:color="auto"/>
          </w:divBdr>
        </w:div>
        <w:div w:id="247930241">
          <w:marLeft w:val="0"/>
          <w:marRight w:val="0"/>
          <w:marTop w:val="0"/>
          <w:marBottom w:val="0"/>
          <w:divBdr>
            <w:top w:val="none" w:sz="0" w:space="0" w:color="auto"/>
            <w:left w:val="none" w:sz="0" w:space="0" w:color="auto"/>
            <w:bottom w:val="none" w:sz="0" w:space="0" w:color="auto"/>
            <w:right w:val="none" w:sz="0" w:space="0" w:color="auto"/>
          </w:divBdr>
        </w:div>
        <w:div w:id="1781410168">
          <w:marLeft w:val="0"/>
          <w:marRight w:val="0"/>
          <w:marTop w:val="0"/>
          <w:marBottom w:val="0"/>
          <w:divBdr>
            <w:top w:val="none" w:sz="0" w:space="0" w:color="auto"/>
            <w:left w:val="none" w:sz="0" w:space="0" w:color="auto"/>
            <w:bottom w:val="none" w:sz="0" w:space="0" w:color="auto"/>
            <w:right w:val="none" w:sz="0" w:space="0" w:color="auto"/>
          </w:divBdr>
        </w:div>
        <w:div w:id="1852866237">
          <w:marLeft w:val="0"/>
          <w:marRight w:val="0"/>
          <w:marTop w:val="0"/>
          <w:marBottom w:val="0"/>
          <w:divBdr>
            <w:top w:val="none" w:sz="0" w:space="0" w:color="auto"/>
            <w:left w:val="none" w:sz="0" w:space="0" w:color="auto"/>
            <w:bottom w:val="none" w:sz="0" w:space="0" w:color="auto"/>
            <w:right w:val="none" w:sz="0" w:space="0" w:color="auto"/>
          </w:divBdr>
        </w:div>
        <w:div w:id="1294407184">
          <w:marLeft w:val="0"/>
          <w:marRight w:val="0"/>
          <w:marTop w:val="0"/>
          <w:marBottom w:val="0"/>
          <w:divBdr>
            <w:top w:val="none" w:sz="0" w:space="0" w:color="auto"/>
            <w:left w:val="none" w:sz="0" w:space="0" w:color="auto"/>
            <w:bottom w:val="none" w:sz="0" w:space="0" w:color="auto"/>
            <w:right w:val="none" w:sz="0" w:space="0" w:color="auto"/>
          </w:divBdr>
        </w:div>
        <w:div w:id="27923296">
          <w:marLeft w:val="0"/>
          <w:marRight w:val="0"/>
          <w:marTop w:val="0"/>
          <w:marBottom w:val="0"/>
          <w:divBdr>
            <w:top w:val="none" w:sz="0" w:space="0" w:color="auto"/>
            <w:left w:val="none" w:sz="0" w:space="0" w:color="auto"/>
            <w:bottom w:val="none" w:sz="0" w:space="0" w:color="auto"/>
            <w:right w:val="none" w:sz="0" w:space="0" w:color="auto"/>
          </w:divBdr>
        </w:div>
        <w:div w:id="1332219431">
          <w:marLeft w:val="0"/>
          <w:marRight w:val="0"/>
          <w:marTop w:val="0"/>
          <w:marBottom w:val="0"/>
          <w:divBdr>
            <w:top w:val="none" w:sz="0" w:space="0" w:color="auto"/>
            <w:left w:val="none" w:sz="0" w:space="0" w:color="auto"/>
            <w:bottom w:val="none" w:sz="0" w:space="0" w:color="auto"/>
            <w:right w:val="none" w:sz="0" w:space="0" w:color="auto"/>
          </w:divBdr>
        </w:div>
        <w:div w:id="110828837">
          <w:marLeft w:val="0"/>
          <w:marRight w:val="0"/>
          <w:marTop w:val="0"/>
          <w:marBottom w:val="0"/>
          <w:divBdr>
            <w:top w:val="none" w:sz="0" w:space="0" w:color="auto"/>
            <w:left w:val="none" w:sz="0" w:space="0" w:color="auto"/>
            <w:bottom w:val="none" w:sz="0" w:space="0" w:color="auto"/>
            <w:right w:val="none" w:sz="0" w:space="0" w:color="auto"/>
          </w:divBdr>
        </w:div>
        <w:div w:id="567425259">
          <w:marLeft w:val="0"/>
          <w:marRight w:val="0"/>
          <w:marTop w:val="0"/>
          <w:marBottom w:val="0"/>
          <w:divBdr>
            <w:top w:val="none" w:sz="0" w:space="0" w:color="auto"/>
            <w:left w:val="none" w:sz="0" w:space="0" w:color="auto"/>
            <w:bottom w:val="none" w:sz="0" w:space="0" w:color="auto"/>
            <w:right w:val="none" w:sz="0" w:space="0" w:color="auto"/>
          </w:divBdr>
        </w:div>
        <w:div w:id="725106065">
          <w:marLeft w:val="0"/>
          <w:marRight w:val="0"/>
          <w:marTop w:val="0"/>
          <w:marBottom w:val="0"/>
          <w:divBdr>
            <w:top w:val="none" w:sz="0" w:space="0" w:color="auto"/>
            <w:left w:val="none" w:sz="0" w:space="0" w:color="auto"/>
            <w:bottom w:val="none" w:sz="0" w:space="0" w:color="auto"/>
            <w:right w:val="none" w:sz="0" w:space="0" w:color="auto"/>
          </w:divBdr>
        </w:div>
        <w:div w:id="47729387">
          <w:marLeft w:val="0"/>
          <w:marRight w:val="0"/>
          <w:marTop w:val="0"/>
          <w:marBottom w:val="0"/>
          <w:divBdr>
            <w:top w:val="none" w:sz="0" w:space="0" w:color="auto"/>
            <w:left w:val="none" w:sz="0" w:space="0" w:color="auto"/>
            <w:bottom w:val="none" w:sz="0" w:space="0" w:color="auto"/>
            <w:right w:val="none" w:sz="0" w:space="0" w:color="auto"/>
          </w:divBdr>
        </w:div>
        <w:div w:id="950939611">
          <w:marLeft w:val="0"/>
          <w:marRight w:val="0"/>
          <w:marTop w:val="0"/>
          <w:marBottom w:val="0"/>
          <w:divBdr>
            <w:top w:val="none" w:sz="0" w:space="0" w:color="auto"/>
            <w:left w:val="none" w:sz="0" w:space="0" w:color="auto"/>
            <w:bottom w:val="none" w:sz="0" w:space="0" w:color="auto"/>
            <w:right w:val="none" w:sz="0" w:space="0" w:color="auto"/>
          </w:divBdr>
        </w:div>
        <w:div w:id="2138572096">
          <w:marLeft w:val="0"/>
          <w:marRight w:val="0"/>
          <w:marTop w:val="0"/>
          <w:marBottom w:val="0"/>
          <w:divBdr>
            <w:top w:val="none" w:sz="0" w:space="0" w:color="auto"/>
            <w:left w:val="none" w:sz="0" w:space="0" w:color="auto"/>
            <w:bottom w:val="none" w:sz="0" w:space="0" w:color="auto"/>
            <w:right w:val="none" w:sz="0" w:space="0" w:color="auto"/>
          </w:divBdr>
        </w:div>
        <w:div w:id="2024041267">
          <w:marLeft w:val="0"/>
          <w:marRight w:val="0"/>
          <w:marTop w:val="0"/>
          <w:marBottom w:val="0"/>
          <w:divBdr>
            <w:top w:val="none" w:sz="0" w:space="0" w:color="auto"/>
            <w:left w:val="none" w:sz="0" w:space="0" w:color="auto"/>
            <w:bottom w:val="none" w:sz="0" w:space="0" w:color="auto"/>
            <w:right w:val="none" w:sz="0" w:space="0" w:color="auto"/>
          </w:divBdr>
        </w:div>
        <w:div w:id="647325635">
          <w:marLeft w:val="0"/>
          <w:marRight w:val="0"/>
          <w:marTop w:val="0"/>
          <w:marBottom w:val="0"/>
          <w:divBdr>
            <w:top w:val="none" w:sz="0" w:space="0" w:color="auto"/>
            <w:left w:val="none" w:sz="0" w:space="0" w:color="auto"/>
            <w:bottom w:val="none" w:sz="0" w:space="0" w:color="auto"/>
            <w:right w:val="none" w:sz="0" w:space="0" w:color="auto"/>
          </w:divBdr>
        </w:div>
        <w:div w:id="1462384836">
          <w:marLeft w:val="0"/>
          <w:marRight w:val="0"/>
          <w:marTop w:val="0"/>
          <w:marBottom w:val="0"/>
          <w:divBdr>
            <w:top w:val="none" w:sz="0" w:space="0" w:color="auto"/>
            <w:left w:val="none" w:sz="0" w:space="0" w:color="auto"/>
            <w:bottom w:val="none" w:sz="0" w:space="0" w:color="auto"/>
            <w:right w:val="none" w:sz="0" w:space="0" w:color="auto"/>
          </w:divBdr>
        </w:div>
        <w:div w:id="1642424983">
          <w:marLeft w:val="0"/>
          <w:marRight w:val="0"/>
          <w:marTop w:val="0"/>
          <w:marBottom w:val="0"/>
          <w:divBdr>
            <w:top w:val="none" w:sz="0" w:space="0" w:color="auto"/>
            <w:left w:val="none" w:sz="0" w:space="0" w:color="auto"/>
            <w:bottom w:val="none" w:sz="0" w:space="0" w:color="auto"/>
            <w:right w:val="none" w:sz="0" w:space="0" w:color="auto"/>
          </w:divBdr>
        </w:div>
        <w:div w:id="11432297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NONPROFIT INVESTMENT POLICY GUDELINES</vt:lpstr>
    </vt:vector>
  </TitlesOfParts>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NONPROFIT INVESTMENT POLICY GUDELINES</dc:title>
  <dc:subject/>
  <dc:creator>Council of Community Services</dc:creator>
  <cp:keywords/>
  <cp:lastModifiedBy>Gerry and Ann</cp:lastModifiedBy>
  <cp:revision>7</cp:revision>
  <dcterms:created xsi:type="dcterms:W3CDTF">2020-09-28T18:24:00Z</dcterms:created>
  <dcterms:modified xsi:type="dcterms:W3CDTF">2020-11-04T23:52:00Z</dcterms:modified>
</cp:coreProperties>
</file>