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81D8" w14:textId="77777777" w:rsidR="00F33298" w:rsidRPr="00F33298" w:rsidRDefault="00F33298" w:rsidP="00F332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F33298">
        <w:rPr>
          <w:rFonts w:ascii="Arial" w:eastAsia="Times New Roman" w:hAnsi="Arial" w:cs="Arial"/>
          <w:b/>
          <w:bCs/>
          <w:color w:val="222222"/>
          <w:sz w:val="36"/>
          <w:szCs w:val="36"/>
        </w:rPr>
        <w:t>Rotary Club of Castro Valley</w:t>
      </w:r>
    </w:p>
    <w:p w14:paraId="30E7286A" w14:textId="394C0B63" w:rsidR="00F33298" w:rsidRPr="00F33298" w:rsidRDefault="00F33298" w:rsidP="00F332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b/>
          <w:bCs/>
          <w:color w:val="222222"/>
          <w:sz w:val="28"/>
          <w:szCs w:val="28"/>
        </w:rPr>
        <w:t>Meeting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Highlights -</w:t>
      </w:r>
      <w:r w:rsidRPr="00F33298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October 1, 2019</w:t>
      </w:r>
    </w:p>
    <w:p w14:paraId="64BA7582" w14:textId="77777777" w:rsid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27EA864F" w14:textId="77777777" w:rsidR="00F33298" w:rsidRP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b/>
          <w:bCs/>
          <w:color w:val="222222"/>
          <w:sz w:val="28"/>
          <w:szCs w:val="28"/>
        </w:rPr>
        <w:t>Jennifer Ott</w:t>
      </w:r>
      <w:r w:rsidRPr="00F33298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- </w:t>
      </w:r>
      <w:r w:rsidRPr="00F33298">
        <w:rPr>
          <w:rFonts w:ascii="Arial" w:eastAsia="Times New Roman" w:hAnsi="Arial" w:cs="Arial"/>
          <w:b/>
          <w:bCs/>
          <w:color w:val="222222"/>
          <w:sz w:val="28"/>
          <w:szCs w:val="28"/>
        </w:rPr>
        <w:t>Deputy City Manager for the City of Hayward</w:t>
      </w:r>
    </w:p>
    <w:p w14:paraId="16A399FE" w14:textId="045E1223" w:rsidR="00F33298" w:rsidRP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Economic Development in Hayward</w:t>
      </w:r>
    </w:p>
    <w:p w14:paraId="1F19D4C4" w14:textId="0F511397" w:rsidR="00F33298" w:rsidRP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581BAF5" w14:textId="77777777" w:rsid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Jennifer Ott, the Deputy City Manager for Hayward, reviewed currently economic development in Hayward and discuss several long-range planning initiatives.  She has 18-years of experience in land use planning as well as economic and community development.  Jennifer has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>served in multiple strategic development roles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in the Bay Area and prior to coming to the City of Hayward served as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Acting Assistant City Manager for the City of Alameda. </w:t>
      </w:r>
    </w:p>
    <w:p w14:paraId="3D0415A1" w14:textId="77375A23" w:rsidR="00F33298" w:rsidRP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DA1BC34" w14:textId="77777777" w:rsidR="0009057E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Hayward is the sixth largest city in the Bay </w:t>
      </w:r>
      <w:r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rea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with a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>population of 149,392 in 2014. 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Jennifer shared </w:t>
      </w:r>
      <w:r w:rsidR="0009057E">
        <w:rPr>
          <w:rFonts w:ascii="Arial" w:eastAsia="Times New Roman" w:hAnsi="Arial" w:cs="Arial"/>
          <w:color w:val="222222"/>
          <w:sz w:val="28"/>
          <w:szCs w:val="28"/>
        </w:rPr>
        <w:t>current economic statistics and how Hayward compares favorably to U.S. averages in the following categories:</w:t>
      </w:r>
    </w:p>
    <w:p w14:paraId="46C54E42" w14:textId="77777777" w:rsidR="0009057E" w:rsidRDefault="0009057E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0BEA4B1" w14:textId="1A58261A" w:rsidR="00F33298" w:rsidRDefault="00F33298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t>Hayward compares quite favorably to averages in the Us as evidenced in the chart below:</w:t>
      </w:r>
    </w:p>
    <w:p w14:paraId="42BA6B0B" w14:textId="04A9564C" w:rsidR="0009057E" w:rsidRDefault="0009057E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2160"/>
        <w:gridCol w:w="2160"/>
      </w:tblGrid>
      <w:tr w:rsidR="0009057E" w:rsidRPr="009B08AC" w14:paraId="68A003D7" w14:textId="77777777" w:rsidTr="009B08AC">
        <w:trPr>
          <w:jc w:val="center"/>
        </w:trPr>
        <w:tc>
          <w:tcPr>
            <w:tcW w:w="5328" w:type="dxa"/>
          </w:tcPr>
          <w:p w14:paraId="4EF07B98" w14:textId="54BDEB91" w:rsidR="0009057E" w:rsidRPr="009B08AC" w:rsidRDefault="0009057E" w:rsidP="00F33298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9B08AC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Economic Factor</w:t>
            </w:r>
          </w:p>
        </w:tc>
        <w:tc>
          <w:tcPr>
            <w:tcW w:w="2160" w:type="dxa"/>
          </w:tcPr>
          <w:p w14:paraId="7AC25992" w14:textId="4723DE9D" w:rsidR="0009057E" w:rsidRPr="009B08AC" w:rsidRDefault="0009057E" w:rsidP="009B08AC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9B08AC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Hayward</w:t>
            </w:r>
          </w:p>
        </w:tc>
        <w:tc>
          <w:tcPr>
            <w:tcW w:w="2160" w:type="dxa"/>
          </w:tcPr>
          <w:p w14:paraId="0CF330B3" w14:textId="05E3A279" w:rsidR="0009057E" w:rsidRPr="009B08AC" w:rsidRDefault="0009057E" w:rsidP="009B08AC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9B08AC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United States</w:t>
            </w:r>
          </w:p>
        </w:tc>
      </w:tr>
      <w:tr w:rsidR="0009057E" w14:paraId="2B9034B2" w14:textId="77777777" w:rsidTr="009B08AC">
        <w:trPr>
          <w:jc w:val="center"/>
        </w:trPr>
        <w:tc>
          <w:tcPr>
            <w:tcW w:w="5328" w:type="dxa"/>
          </w:tcPr>
          <w:p w14:paraId="5DC02D83" w14:textId="4E833BD3" w:rsidR="0009057E" w:rsidRDefault="0009057E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Unemployment Rate</w:t>
            </w:r>
          </w:p>
        </w:tc>
        <w:tc>
          <w:tcPr>
            <w:tcW w:w="2160" w:type="dxa"/>
          </w:tcPr>
          <w:p w14:paraId="309EF5B3" w14:textId="0C8694D4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3.7%</w:t>
            </w:r>
          </w:p>
        </w:tc>
        <w:tc>
          <w:tcPr>
            <w:tcW w:w="2160" w:type="dxa"/>
          </w:tcPr>
          <w:p w14:paraId="5D449836" w14:textId="5BA6D467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3.7%</w:t>
            </w:r>
          </w:p>
        </w:tc>
      </w:tr>
      <w:tr w:rsidR="0009057E" w14:paraId="75126B90" w14:textId="77777777" w:rsidTr="009B08AC">
        <w:trPr>
          <w:jc w:val="center"/>
        </w:trPr>
        <w:tc>
          <w:tcPr>
            <w:tcW w:w="5328" w:type="dxa"/>
          </w:tcPr>
          <w:p w14:paraId="56426BC7" w14:textId="7270ECF6" w:rsidR="0009057E" w:rsidRDefault="0009057E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Recent Job Growth</w:t>
            </w:r>
          </w:p>
        </w:tc>
        <w:tc>
          <w:tcPr>
            <w:tcW w:w="2160" w:type="dxa"/>
          </w:tcPr>
          <w:p w14:paraId="4D2D8656" w14:textId="099B53E5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1.4%</w:t>
            </w:r>
          </w:p>
        </w:tc>
        <w:tc>
          <w:tcPr>
            <w:tcW w:w="2160" w:type="dxa"/>
          </w:tcPr>
          <w:p w14:paraId="6687714C" w14:textId="39BCF36C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1.6%</w:t>
            </w:r>
          </w:p>
        </w:tc>
      </w:tr>
      <w:tr w:rsidR="0009057E" w14:paraId="51CB34D4" w14:textId="77777777" w:rsidTr="009B08AC">
        <w:trPr>
          <w:jc w:val="center"/>
        </w:trPr>
        <w:tc>
          <w:tcPr>
            <w:tcW w:w="5328" w:type="dxa"/>
          </w:tcPr>
          <w:p w14:paraId="5EB57649" w14:textId="16A7138D" w:rsidR="0009057E" w:rsidRDefault="0009057E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Future Job Growth</w:t>
            </w:r>
          </w:p>
        </w:tc>
        <w:tc>
          <w:tcPr>
            <w:tcW w:w="2160" w:type="dxa"/>
          </w:tcPr>
          <w:p w14:paraId="7287BBD6" w14:textId="2966576E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36.1%</w:t>
            </w:r>
          </w:p>
        </w:tc>
        <w:tc>
          <w:tcPr>
            <w:tcW w:w="2160" w:type="dxa"/>
          </w:tcPr>
          <w:p w14:paraId="5C3E0178" w14:textId="2E0A4646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33.5%</w:t>
            </w:r>
          </w:p>
        </w:tc>
      </w:tr>
      <w:tr w:rsidR="0009057E" w14:paraId="1EFD20AC" w14:textId="77777777" w:rsidTr="009B08AC">
        <w:trPr>
          <w:jc w:val="center"/>
        </w:trPr>
        <w:tc>
          <w:tcPr>
            <w:tcW w:w="5328" w:type="dxa"/>
          </w:tcPr>
          <w:p w14:paraId="4103F0AA" w14:textId="136F67DF" w:rsidR="0009057E" w:rsidRDefault="0009057E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Income per Capita</w:t>
            </w:r>
          </w:p>
        </w:tc>
        <w:tc>
          <w:tcPr>
            <w:tcW w:w="2160" w:type="dxa"/>
          </w:tcPr>
          <w:p w14:paraId="4F347A3B" w14:textId="26D31D10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$29,533</w:t>
            </w:r>
          </w:p>
        </w:tc>
        <w:tc>
          <w:tcPr>
            <w:tcW w:w="2160" w:type="dxa"/>
          </w:tcPr>
          <w:p w14:paraId="2B42066C" w14:textId="33A8046E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$31,177</w:t>
            </w:r>
          </w:p>
        </w:tc>
      </w:tr>
      <w:tr w:rsidR="0009057E" w14:paraId="44411E9F" w14:textId="77777777" w:rsidTr="009B08AC">
        <w:trPr>
          <w:jc w:val="center"/>
        </w:trPr>
        <w:tc>
          <w:tcPr>
            <w:tcW w:w="5328" w:type="dxa"/>
          </w:tcPr>
          <w:p w14:paraId="6FDB2C3D" w14:textId="2C193C4D" w:rsidR="0009057E" w:rsidRDefault="0009057E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Household Income</w:t>
            </w:r>
          </w:p>
        </w:tc>
        <w:tc>
          <w:tcPr>
            <w:tcW w:w="2160" w:type="dxa"/>
          </w:tcPr>
          <w:p w14:paraId="463D247C" w14:textId="05D37840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$74,947</w:t>
            </w:r>
          </w:p>
        </w:tc>
        <w:tc>
          <w:tcPr>
            <w:tcW w:w="2160" w:type="dxa"/>
          </w:tcPr>
          <w:p w14:paraId="32AD7A7F" w14:textId="22F1B59F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$57,652</w:t>
            </w:r>
          </w:p>
        </w:tc>
      </w:tr>
      <w:tr w:rsidR="0009057E" w14:paraId="20A98FB6" w14:textId="77777777" w:rsidTr="009B08AC">
        <w:trPr>
          <w:jc w:val="center"/>
        </w:trPr>
        <w:tc>
          <w:tcPr>
            <w:tcW w:w="5328" w:type="dxa"/>
          </w:tcPr>
          <w:p w14:paraId="1140945A" w14:textId="2709C306" w:rsidR="0009057E" w:rsidRDefault="009B08AC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Commercial Real Estate Market Vacancy</w:t>
            </w:r>
          </w:p>
        </w:tc>
        <w:tc>
          <w:tcPr>
            <w:tcW w:w="2160" w:type="dxa"/>
          </w:tcPr>
          <w:p w14:paraId="75880B52" w14:textId="77777777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F2745B1" w14:textId="77777777" w:rsidR="0009057E" w:rsidRDefault="0009057E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9B08AC" w14:paraId="08D8DEBE" w14:textId="77777777" w:rsidTr="009B08AC">
        <w:trPr>
          <w:jc w:val="center"/>
        </w:trPr>
        <w:tc>
          <w:tcPr>
            <w:tcW w:w="5328" w:type="dxa"/>
          </w:tcPr>
          <w:p w14:paraId="07027BE1" w14:textId="3F872BFE" w:rsidR="009B08AC" w:rsidRDefault="009B08AC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Industrial</w:t>
            </w:r>
          </w:p>
        </w:tc>
        <w:tc>
          <w:tcPr>
            <w:tcW w:w="2160" w:type="dxa"/>
          </w:tcPr>
          <w:p w14:paraId="05572DA0" w14:textId="310312CA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2.7%</w:t>
            </w:r>
          </w:p>
        </w:tc>
        <w:tc>
          <w:tcPr>
            <w:tcW w:w="2160" w:type="dxa"/>
          </w:tcPr>
          <w:p w14:paraId="7C7E0027" w14:textId="77777777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9B08AC" w14:paraId="45BD96A7" w14:textId="77777777" w:rsidTr="009B08AC">
        <w:trPr>
          <w:jc w:val="center"/>
        </w:trPr>
        <w:tc>
          <w:tcPr>
            <w:tcW w:w="5328" w:type="dxa"/>
          </w:tcPr>
          <w:p w14:paraId="6F32C69F" w14:textId="4E1AE3A4" w:rsidR="009B08AC" w:rsidRDefault="009B08AC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Office</w:t>
            </w:r>
          </w:p>
        </w:tc>
        <w:tc>
          <w:tcPr>
            <w:tcW w:w="2160" w:type="dxa"/>
          </w:tcPr>
          <w:p w14:paraId="09FAB84D" w14:textId="6B9C44C9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2.3%</w:t>
            </w:r>
          </w:p>
        </w:tc>
        <w:tc>
          <w:tcPr>
            <w:tcW w:w="2160" w:type="dxa"/>
          </w:tcPr>
          <w:p w14:paraId="727D233C" w14:textId="77777777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9B08AC" w14:paraId="53B7F4DB" w14:textId="77777777" w:rsidTr="009B08AC">
        <w:trPr>
          <w:jc w:val="center"/>
        </w:trPr>
        <w:tc>
          <w:tcPr>
            <w:tcW w:w="5328" w:type="dxa"/>
          </w:tcPr>
          <w:p w14:paraId="0E2BFBAA" w14:textId="1E12DDC5" w:rsidR="009B08AC" w:rsidRDefault="009B08AC" w:rsidP="00F33298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Retail</w:t>
            </w:r>
          </w:p>
        </w:tc>
        <w:tc>
          <w:tcPr>
            <w:tcW w:w="2160" w:type="dxa"/>
          </w:tcPr>
          <w:p w14:paraId="48625BA2" w14:textId="17B63C9F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1.5%</w:t>
            </w:r>
          </w:p>
        </w:tc>
        <w:tc>
          <w:tcPr>
            <w:tcW w:w="2160" w:type="dxa"/>
          </w:tcPr>
          <w:p w14:paraId="00623C82" w14:textId="77777777" w:rsidR="009B08AC" w:rsidRDefault="009B08AC" w:rsidP="009B08AC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p w14:paraId="6F605828" w14:textId="77777777" w:rsidR="0009057E" w:rsidRPr="00F33298" w:rsidRDefault="0009057E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8CFF2E0" w14:textId="735E48D9" w:rsidR="00F33298" w:rsidRPr="00F33298" w:rsidRDefault="009B08AC" w:rsidP="00F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After setting the stage regarding the economic conditions in Hayward, Jennifer reviewed several new developments </w:t>
      </w:r>
      <w:r w:rsidR="00F33298" w:rsidRPr="00F33298">
        <w:rPr>
          <w:rFonts w:ascii="Arial" w:eastAsia="Times New Roman" w:hAnsi="Arial" w:cs="Arial"/>
          <w:color w:val="222222"/>
          <w:sz w:val="28"/>
          <w:szCs w:val="28"/>
        </w:rPr>
        <w:t>in 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>r</w:t>
      </w:r>
      <w:r w:rsidR="00F33298"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esidential, 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>r</w:t>
      </w:r>
      <w:r w:rsidR="00F33298"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etail and industrial </w:t>
      </w:r>
      <w:r>
        <w:rPr>
          <w:rFonts w:ascii="Arial" w:eastAsia="Times New Roman" w:hAnsi="Arial" w:cs="Arial"/>
          <w:color w:val="222222"/>
          <w:sz w:val="28"/>
          <w:szCs w:val="28"/>
        </w:rPr>
        <w:t>m</w:t>
      </w:r>
      <w:r w:rsidR="00F33298" w:rsidRPr="00F33298">
        <w:rPr>
          <w:rFonts w:ascii="Arial" w:eastAsia="Times New Roman" w:hAnsi="Arial" w:cs="Arial"/>
          <w:color w:val="222222"/>
          <w:sz w:val="28"/>
          <w:szCs w:val="28"/>
        </w:rPr>
        <w:t>arket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that included the following</w:t>
      </w:r>
      <w:r w:rsidR="00F33298" w:rsidRPr="00F33298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5C358543" w14:textId="77777777" w:rsidR="009B08AC" w:rsidRDefault="00F33298" w:rsidP="004A3D7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New residential </w:t>
      </w:r>
      <w:r w:rsidR="009B08AC" w:rsidRPr="009B08AC"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partments are being built in the </w:t>
      </w:r>
      <w:r w:rsidR="009B08AC" w:rsidRPr="009B08AC">
        <w:rPr>
          <w:rFonts w:ascii="Arial" w:eastAsia="Times New Roman" w:hAnsi="Arial" w:cs="Arial"/>
          <w:color w:val="222222"/>
          <w:sz w:val="28"/>
          <w:szCs w:val="28"/>
        </w:rPr>
        <w:t>s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outh and </w:t>
      </w:r>
      <w:r w:rsidR="009B08AC" w:rsidRPr="009B08AC">
        <w:rPr>
          <w:rFonts w:ascii="Arial" w:eastAsia="Times New Roman" w:hAnsi="Arial" w:cs="Arial"/>
          <w:color w:val="222222"/>
          <w:sz w:val="28"/>
          <w:szCs w:val="28"/>
        </w:rPr>
        <w:t>c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>entral Hayward  to address the housing shortages. About 20 of the 72 rental units</w:t>
      </w:r>
      <w:r w:rsidR="009B08AC"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 and 28 of the homes</w:t>
      </w:r>
      <w:r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 will be priced at below market rates</w:t>
      </w:r>
      <w:r w:rsidR="009B08AC" w:rsidRPr="009B08AC">
        <w:rPr>
          <w:rFonts w:ascii="Arial" w:eastAsia="Times New Roman" w:hAnsi="Arial" w:cs="Arial"/>
          <w:color w:val="222222"/>
          <w:sz w:val="28"/>
          <w:szCs w:val="28"/>
        </w:rPr>
        <w:t xml:space="preserve"> making them affordable to moderate-income buyers.</w:t>
      </w:r>
    </w:p>
    <w:p w14:paraId="68D5096D" w14:textId="5C7E81D7" w:rsidR="00F33298" w:rsidRPr="00F33298" w:rsidRDefault="00F33298" w:rsidP="004A3D7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Lincoln Landing </w:t>
      </w:r>
      <w:r w:rsidR="009B08AC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4A3D70">
        <w:rPr>
          <w:rFonts w:ascii="Arial" w:eastAsia="Times New Roman" w:hAnsi="Arial" w:cs="Arial"/>
          <w:color w:val="222222"/>
          <w:sz w:val="28"/>
          <w:szCs w:val="28"/>
        </w:rPr>
        <w:t xml:space="preserve">on the site of </w:t>
      </w:r>
      <w:r w:rsidR="009B08AC">
        <w:rPr>
          <w:rFonts w:ascii="Arial" w:eastAsia="Times New Roman" w:hAnsi="Arial" w:cs="Arial"/>
          <w:color w:val="222222"/>
          <w:sz w:val="28"/>
          <w:szCs w:val="28"/>
        </w:rPr>
        <w:t>the former Meryn’s headquarters) recently broke ground</w:t>
      </w:r>
      <w:r w:rsidR="004A3D70">
        <w:rPr>
          <w:rFonts w:ascii="Arial" w:eastAsia="Times New Roman" w:hAnsi="Arial" w:cs="Arial"/>
          <w:color w:val="222222"/>
          <w:sz w:val="28"/>
          <w:szCs w:val="28"/>
        </w:rPr>
        <w:t xml:space="preserve"> and will add 476 apartments and more than 80,500 square feet of retail space.</w:t>
      </w:r>
      <w:r w:rsidR="009B08A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hyperlink r:id="rId5" w:history="1">
        <w:r w:rsidR="004A3D70" w:rsidRPr="004A3D70">
          <w:rPr>
            <w:rStyle w:val="Hyperlink"/>
            <w:rFonts w:ascii="Arial" w:eastAsia="Times New Roman" w:hAnsi="Arial" w:cs="Arial"/>
            <w:sz w:val="28"/>
            <w:szCs w:val="28"/>
          </w:rPr>
          <w:t>Read more</w:t>
        </w:r>
      </w:hyperlink>
      <w:r w:rsidR="004A3D70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4FD77A21" w14:textId="46B45792" w:rsidR="00F33298" w:rsidRPr="00F33298" w:rsidRDefault="00F33298" w:rsidP="004A3D7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t>The city has re-acquired the City Center Tower for future residential and</w:t>
      </w:r>
      <w:r w:rsidR="004A3D7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>office space</w:t>
      </w:r>
      <w:r w:rsidR="004A3D70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4F2F411E" w14:textId="77777777" w:rsidR="00C57C4F" w:rsidRDefault="00F33298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t>The</w:t>
      </w:r>
      <w:r w:rsidR="00C57C4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57C4F" w:rsidRPr="00C57C4F">
        <w:rPr>
          <w:rFonts w:ascii="Arial" w:hAnsi="Arial" w:cs="Arial"/>
          <w:color w:val="111111"/>
          <w:sz w:val="28"/>
          <w:szCs w:val="28"/>
          <w:shd w:val="clear" w:color="auto" w:fill="FFFFFF"/>
        </w:rPr>
        <w:t>21st Century Library and Community Learning Cente</w:t>
      </w:r>
      <w:r w:rsidR="00C57C4F">
        <w:rPr>
          <w:rFonts w:ascii="Arial" w:hAnsi="Arial" w:cs="Arial"/>
          <w:color w:val="111111"/>
          <w:sz w:val="28"/>
          <w:szCs w:val="28"/>
          <w:shd w:val="clear" w:color="auto" w:fill="FFFFFF"/>
        </w:rPr>
        <w:t>r which opened its doors on September 21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 is</w:t>
      </w:r>
      <w:r w:rsidR="004A3D70" w:rsidRPr="00C57C4F">
        <w:rPr>
          <w:rFonts w:ascii="Arial" w:eastAsia="Times New Roman" w:hAnsi="Arial" w:cs="Arial"/>
          <w:color w:val="222222"/>
          <w:sz w:val="28"/>
          <w:szCs w:val="28"/>
        </w:rPr>
        <w:t xml:space="preserve"> state-of-the-art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modern library with multiple educational facilities and </w:t>
      </w:r>
      <w:r w:rsidR="00C57C4F">
        <w:rPr>
          <w:rFonts w:ascii="Arial" w:eastAsia="Times New Roman" w:hAnsi="Arial" w:cs="Arial"/>
          <w:color w:val="222222"/>
          <w:sz w:val="28"/>
          <w:szCs w:val="28"/>
        </w:rPr>
        <w:t xml:space="preserve">learning center.  </w:t>
      </w:r>
      <w:hyperlink r:id="rId6" w:history="1">
        <w:r w:rsidR="00C57C4F" w:rsidRPr="00C57C4F">
          <w:rPr>
            <w:rStyle w:val="Hyperlink"/>
            <w:rFonts w:ascii="Arial" w:eastAsia="Times New Roman" w:hAnsi="Arial" w:cs="Arial"/>
            <w:sz w:val="28"/>
            <w:szCs w:val="28"/>
          </w:rPr>
          <w:t>Read more</w:t>
        </w:r>
      </w:hyperlink>
      <w:r w:rsidR="00C57C4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14:paraId="636D1880" w14:textId="2B212F4D" w:rsidR="00F33298" w:rsidRPr="00F33298" w:rsidRDefault="00C57C4F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C57C4F">
        <w:rPr>
          <w:rFonts w:ascii="Arial" w:hAnsi="Arial" w:cs="Arial"/>
          <w:color w:val="212529"/>
          <w:spacing w:val="3"/>
          <w:sz w:val="28"/>
          <w:szCs w:val="28"/>
          <w:shd w:val="clear" w:color="auto" w:fill="FFFFFF"/>
        </w:rPr>
        <w:t>The City of Hayward and Chabot-Las Positas Community College District have reached agreement on a partnership to jointly develop a new regional center for firefighter, paramedic, rescue, and emergency response education and trainin</w:t>
      </w:r>
      <w:r w:rsidR="008257E2">
        <w:rPr>
          <w:rFonts w:ascii="Arial" w:hAnsi="Arial" w:cs="Arial"/>
          <w:color w:val="212529"/>
          <w:spacing w:val="3"/>
          <w:sz w:val="28"/>
          <w:szCs w:val="28"/>
          <w:shd w:val="clear" w:color="auto" w:fill="FFFFFF"/>
        </w:rPr>
        <w:t xml:space="preserve">g.  </w:t>
      </w:r>
      <w:hyperlink r:id="rId7" w:history="1">
        <w:r w:rsidR="008257E2" w:rsidRPr="008257E2">
          <w:rPr>
            <w:rStyle w:val="Hyperlink"/>
            <w:rFonts w:ascii="Arial" w:hAnsi="Arial" w:cs="Arial"/>
            <w:spacing w:val="3"/>
            <w:sz w:val="28"/>
            <w:szCs w:val="28"/>
            <w:shd w:val="clear" w:color="auto" w:fill="FFFFFF"/>
          </w:rPr>
          <w:t>Read more</w:t>
        </w:r>
      </w:hyperlink>
      <w:r w:rsidR="008257E2">
        <w:rPr>
          <w:rFonts w:ascii="Arial" w:hAnsi="Arial" w:cs="Arial"/>
          <w:color w:val="212529"/>
          <w:spacing w:val="3"/>
          <w:sz w:val="28"/>
          <w:szCs w:val="28"/>
          <w:shd w:val="clear" w:color="auto" w:fill="FFFFFF"/>
        </w:rPr>
        <w:t>.</w:t>
      </w:r>
    </w:p>
    <w:p w14:paraId="51526D4F" w14:textId="77777777" w:rsidR="008257E2" w:rsidRDefault="00F33298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Hayward </w:t>
      </w:r>
      <w:r w:rsidR="008257E2">
        <w:rPr>
          <w:rFonts w:ascii="Arial" w:eastAsia="Times New Roman" w:hAnsi="Arial" w:cs="Arial"/>
          <w:color w:val="222222"/>
          <w:sz w:val="28"/>
          <w:szCs w:val="28"/>
        </w:rPr>
        <w:t xml:space="preserve">City </w:t>
      </w:r>
      <w:r w:rsidRPr="00F33298">
        <w:rPr>
          <w:rFonts w:ascii="Arial" w:eastAsia="Times New Roman" w:hAnsi="Arial" w:cs="Arial"/>
          <w:color w:val="222222"/>
          <w:sz w:val="28"/>
          <w:szCs w:val="28"/>
        </w:rPr>
        <w:t xml:space="preserve">Council </w:t>
      </w:r>
      <w:r w:rsidR="008257E2">
        <w:rPr>
          <w:rFonts w:ascii="Arial" w:eastAsia="Times New Roman" w:hAnsi="Arial" w:cs="Arial"/>
          <w:color w:val="222222"/>
          <w:sz w:val="28"/>
          <w:szCs w:val="28"/>
        </w:rPr>
        <w:t>has $28.6M for affordable housing and $26M for street repairs and upgrades.</w:t>
      </w:r>
    </w:p>
    <w:p w14:paraId="22AF593E" w14:textId="132AD3AB" w:rsidR="008257E2" w:rsidRDefault="008257E2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 Downtown Benefit District has been formed.</w:t>
      </w:r>
      <w:r w:rsidR="002D4D72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hyperlink r:id="rId8" w:history="1">
        <w:r w:rsidR="002D4D72" w:rsidRPr="002D4D72">
          <w:rPr>
            <w:rStyle w:val="Hyperlink"/>
            <w:rFonts w:ascii="Arial" w:eastAsia="Times New Roman" w:hAnsi="Arial" w:cs="Arial"/>
            <w:sz w:val="28"/>
            <w:szCs w:val="28"/>
          </w:rPr>
          <w:t>Read more</w:t>
        </w:r>
      </w:hyperlink>
      <w:r w:rsidR="002D4D72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6D0704A3" w14:textId="09C6DF7B" w:rsidR="002D4D72" w:rsidRDefault="002D4D72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An easier and streamlined permitting process has been established for new businesses to encourage growth.</w:t>
      </w:r>
    </w:p>
    <w:p w14:paraId="0CA39449" w14:textId="1758C2B4" w:rsidR="002D4D72" w:rsidRDefault="002D4D72" w:rsidP="004A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General Plan has been revised to allow 11-story building in the downtown area, which could lead to a restructuring of the downtown loop road in the long term.</w:t>
      </w:r>
    </w:p>
    <w:p w14:paraId="196206B7" w14:textId="7A58A8C9" w:rsidR="004A3D70" w:rsidRDefault="002D4D72" w:rsidP="000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2D4D72">
        <w:rPr>
          <w:rFonts w:ascii="Arial" w:eastAsia="Times New Roman" w:hAnsi="Arial" w:cs="Arial"/>
          <w:color w:val="222222"/>
          <w:sz w:val="28"/>
          <w:szCs w:val="28"/>
        </w:rPr>
        <w:t xml:space="preserve">For more information regarding the City of Hayward, </w:t>
      </w:r>
      <w:hyperlink r:id="rId9" w:history="1">
        <w:r w:rsidRPr="00CF1E7F">
          <w:rPr>
            <w:rStyle w:val="Hyperlink"/>
            <w:rFonts w:ascii="Arial" w:eastAsia="Times New Roman" w:hAnsi="Arial" w:cs="Arial"/>
            <w:sz w:val="28"/>
            <w:szCs w:val="28"/>
          </w:rPr>
          <w:t>clic</w:t>
        </w:r>
        <w:r w:rsidRPr="00CF1E7F">
          <w:rPr>
            <w:rStyle w:val="Hyperlink"/>
            <w:rFonts w:ascii="Arial" w:eastAsia="Times New Roman" w:hAnsi="Arial" w:cs="Arial"/>
            <w:sz w:val="28"/>
            <w:szCs w:val="28"/>
          </w:rPr>
          <w:t>k</w:t>
        </w:r>
        <w:r w:rsidRPr="00CF1E7F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h</w:t>
        </w:r>
        <w:r w:rsidRPr="00CF1E7F">
          <w:rPr>
            <w:rStyle w:val="Hyperlink"/>
            <w:rFonts w:ascii="Arial" w:eastAsia="Times New Roman" w:hAnsi="Arial" w:cs="Arial"/>
            <w:sz w:val="28"/>
            <w:szCs w:val="28"/>
          </w:rPr>
          <w:t>e</w:t>
        </w:r>
        <w:r w:rsidRPr="00CF1E7F">
          <w:rPr>
            <w:rStyle w:val="Hyperlink"/>
            <w:rFonts w:ascii="Arial" w:eastAsia="Times New Roman" w:hAnsi="Arial" w:cs="Arial"/>
            <w:sz w:val="28"/>
            <w:szCs w:val="28"/>
          </w:rPr>
          <w:t>re</w:t>
        </w:r>
      </w:hyperlink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bookmarkStart w:id="0" w:name="_GoBack"/>
      <w:bookmarkEnd w:id="0"/>
    </w:p>
    <w:sectPr w:rsidR="004A3D70" w:rsidSect="00F332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164"/>
    <w:multiLevelType w:val="hybridMultilevel"/>
    <w:tmpl w:val="6E46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081A"/>
    <w:multiLevelType w:val="multilevel"/>
    <w:tmpl w:val="032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8"/>
    <w:rsid w:val="0009057E"/>
    <w:rsid w:val="002D4D72"/>
    <w:rsid w:val="004A3D70"/>
    <w:rsid w:val="008257E2"/>
    <w:rsid w:val="009B08AC"/>
    <w:rsid w:val="00C57C4F"/>
    <w:rsid w:val="00CF1E7F"/>
    <w:rsid w:val="00F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8A8"/>
  <w15:chartTrackingRefBased/>
  <w15:docId w15:val="{4ED56106-333C-4DE1-9ADD-7CF6C8D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298"/>
    <w:rPr>
      <w:b/>
      <w:bCs/>
    </w:rPr>
  </w:style>
  <w:style w:type="character" w:customStyle="1" w:styleId="ams">
    <w:name w:val="ams"/>
    <w:basedOn w:val="DefaultParagraphFont"/>
    <w:rsid w:val="00F33298"/>
  </w:style>
  <w:style w:type="table" w:styleId="TableGrid">
    <w:name w:val="Table Grid"/>
    <w:basedOn w:val="TableNormal"/>
    <w:uiPriority w:val="39"/>
    <w:rsid w:val="000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ward-ca.gov/discover/news/aug18/downtown-community-benefit-district-form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botcollege.edu/news/2018-11-13-hayward-clpccd-partner-fire-training-cent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yward-ca.gov/public-libr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yward-ca.gov/discover/news/sep19/developer-break-ground-housing-and-new-retail-space-former-mervyns-depart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yward-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3</cp:revision>
  <dcterms:created xsi:type="dcterms:W3CDTF">2019-10-04T20:44:00Z</dcterms:created>
  <dcterms:modified xsi:type="dcterms:W3CDTF">2019-10-04T21:39:00Z</dcterms:modified>
</cp:coreProperties>
</file>