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F9D" w:rsidRPr="005C01BD" w:rsidRDefault="00253EFE" w:rsidP="00A55771">
      <w:pPr>
        <w:pStyle w:val="BodyParagraph"/>
      </w:pPr>
      <w:bookmarkStart w:id="0" w:name="_GoBack"/>
      <w:bookmarkEnd w:id="0"/>
      <w:r w:rsidRPr="00CB495D">
        <w:rPr>
          <w:noProof/>
        </w:rPr>
        <w:drawing>
          <wp:anchor distT="0" distB="0" distL="114300" distR="114300" simplePos="0" relativeHeight="251659264" behindDoc="0" locked="0" layoutInCell="1" allowOverlap="1" wp14:anchorId="15009343" wp14:editId="15009344">
            <wp:simplePos x="0" y="0"/>
            <wp:positionH relativeFrom="column">
              <wp:posOffset>0</wp:posOffset>
            </wp:positionH>
            <wp:positionV relativeFrom="paragraph">
              <wp:posOffset>180975</wp:posOffset>
            </wp:positionV>
            <wp:extent cx="1577340" cy="592455"/>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MBS_RGB.png"/>
                    <pic:cNvPicPr/>
                  </pic:nvPicPr>
                  <pic:blipFill>
                    <a:blip r:embed="rId11">
                      <a:extLst>
                        <a:ext uri="{28A0092B-C50C-407E-A947-70E740481C1C}">
                          <a14:useLocalDpi xmlns:a14="http://schemas.microsoft.com/office/drawing/2010/main" val="0"/>
                        </a:ext>
                      </a:extLst>
                    </a:blip>
                    <a:stretch>
                      <a:fillRect/>
                    </a:stretch>
                  </pic:blipFill>
                  <pic:spPr>
                    <a:xfrm>
                      <a:off x="0" y="0"/>
                      <a:ext cx="1577340" cy="59245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E41C04">
        <w:rPr>
          <w:noProof/>
        </w:rPr>
        <w:t xml:space="preserve"> </w:t>
      </w:r>
      <w:r w:rsidR="00B04E32" w:rsidRPr="005C01BD">
        <w:rPr>
          <w:noProof/>
        </w:rPr>
        <mc:AlternateContent>
          <mc:Choice Requires="wps">
            <w:drawing>
              <wp:anchor distT="0" distB="0" distL="114300" distR="114300" simplePos="0" relativeHeight="251657216" behindDoc="0" locked="0" layoutInCell="1" allowOverlap="1" wp14:anchorId="15009345" wp14:editId="15009346">
                <wp:simplePos x="0" y="0"/>
                <wp:positionH relativeFrom="column">
                  <wp:posOffset>5423535</wp:posOffset>
                </wp:positionH>
                <wp:positionV relativeFrom="paragraph">
                  <wp:posOffset>-168910</wp:posOffset>
                </wp:positionV>
                <wp:extent cx="914400" cy="228600"/>
                <wp:effectExtent l="635" t="0" r="0" b="381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4D0" w:rsidRPr="00DE6891" w:rsidRDefault="002934D0" w:rsidP="00416C18">
                            <w:pPr>
                              <w:pStyle w:val="LanguageCode"/>
                              <w:ind w:right="28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009345" id="_x0000_t202" coordsize="21600,21600" o:spt="202" path="m,l,21600r21600,l21600,xe">
                <v:stroke joinstyle="miter"/>
                <v:path gradientshapeok="t" o:connecttype="rect"/>
              </v:shapetype>
              <v:shape id="Text Box 8" o:spid="_x0000_s1026" type="#_x0000_t202" style="position:absolute;margin-left:427.05pt;margin-top:-13.3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gcisQIAALg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" filled="f" stroked="f">
                <v:textbox>
                  <w:txbxContent>
                    <w:p w:rsidR="002934D0" w:rsidRPr="00DE6891" w:rsidRDefault="002934D0" w:rsidP="00416C18">
                      <w:pPr>
                        <w:pStyle w:val="LanguageCode"/>
                        <w:ind w:right="280"/>
                        <w:jc w:val="center"/>
                      </w:pPr>
                    </w:p>
                  </w:txbxContent>
                </v:textbox>
              </v:shape>
            </w:pict>
          </mc:Fallback>
        </mc:AlternateContent>
      </w:r>
    </w:p>
    <w:p w:rsidR="00416C18" w:rsidRPr="003F2448" w:rsidRDefault="00D75329" w:rsidP="00416C18">
      <w:pPr>
        <w:pStyle w:val="Heading2"/>
        <w:jc w:val="center"/>
        <w:rPr>
          <w:b/>
          <w:bCs/>
          <w:caps/>
          <w:color w:val="005DAA"/>
          <w:kern w:val="32"/>
          <w:sz w:val="32"/>
          <w:szCs w:val="32"/>
        </w:rPr>
      </w:pPr>
      <w:r w:rsidRPr="003F2448">
        <w:rPr>
          <w:b/>
          <w:bCs/>
          <w:caps/>
          <w:color w:val="005DAA"/>
          <w:kern w:val="32"/>
          <w:sz w:val="32"/>
          <w:szCs w:val="32"/>
        </w:rPr>
        <w:t>T</w:t>
      </w:r>
      <w:r w:rsidR="00B07FA9" w:rsidRPr="003F2448">
        <w:rPr>
          <w:b/>
          <w:bCs/>
          <w:caps/>
          <w:color w:val="005DAA"/>
          <w:kern w:val="32"/>
          <w:sz w:val="32"/>
          <w:szCs w:val="32"/>
        </w:rPr>
        <w:t xml:space="preserve">he </w:t>
      </w:r>
      <w:r w:rsidRPr="003F2448">
        <w:rPr>
          <w:b/>
          <w:bCs/>
          <w:caps/>
          <w:color w:val="005DAA"/>
          <w:kern w:val="32"/>
          <w:sz w:val="32"/>
          <w:szCs w:val="32"/>
        </w:rPr>
        <w:t>R</w:t>
      </w:r>
      <w:r w:rsidR="00B07FA9" w:rsidRPr="003F2448">
        <w:rPr>
          <w:b/>
          <w:bCs/>
          <w:caps/>
          <w:color w:val="005DAA"/>
          <w:kern w:val="32"/>
          <w:sz w:val="32"/>
          <w:szCs w:val="32"/>
        </w:rPr>
        <w:t xml:space="preserve">otary </w:t>
      </w:r>
      <w:r w:rsidRPr="003F2448">
        <w:rPr>
          <w:b/>
          <w:bCs/>
          <w:caps/>
          <w:color w:val="005DAA"/>
          <w:kern w:val="32"/>
          <w:sz w:val="32"/>
          <w:szCs w:val="32"/>
        </w:rPr>
        <w:t>F</w:t>
      </w:r>
      <w:r w:rsidR="004A6AC6" w:rsidRPr="003F2448">
        <w:rPr>
          <w:b/>
          <w:bCs/>
          <w:caps/>
          <w:color w:val="005DAA"/>
          <w:kern w:val="32"/>
          <w:sz w:val="32"/>
          <w:szCs w:val="32"/>
        </w:rPr>
        <w:t xml:space="preserve">oundation </w:t>
      </w:r>
      <w:r w:rsidRPr="003F2448">
        <w:rPr>
          <w:b/>
          <w:bCs/>
          <w:caps/>
          <w:color w:val="005DAA"/>
          <w:kern w:val="32"/>
          <w:sz w:val="32"/>
          <w:szCs w:val="32"/>
        </w:rPr>
        <w:t>Funding</w:t>
      </w:r>
      <w:r w:rsidR="00B07FA9" w:rsidRPr="003F2448">
        <w:rPr>
          <w:b/>
          <w:bCs/>
          <w:caps/>
          <w:color w:val="005DAA"/>
          <w:kern w:val="32"/>
          <w:sz w:val="32"/>
          <w:szCs w:val="32"/>
        </w:rPr>
        <w:t xml:space="preserve"> model</w:t>
      </w:r>
    </w:p>
    <w:p w:rsidR="00416C18" w:rsidRPr="005C01BD" w:rsidRDefault="00B07FA9" w:rsidP="00416C18">
      <w:pPr>
        <w:pStyle w:val="Heading2"/>
        <w:jc w:val="center"/>
        <w:rPr>
          <w:b/>
          <w:bCs/>
          <w:i/>
          <w:caps/>
          <w:color w:val="005DAA"/>
          <w:kern w:val="32"/>
        </w:rPr>
      </w:pPr>
      <w:r w:rsidRPr="00CB495D">
        <w:rPr>
          <w:b/>
          <w:bCs/>
          <w:i/>
          <w:caps/>
          <w:color w:val="005DAA"/>
          <w:kern w:val="32"/>
          <w:sz w:val="32"/>
          <w:szCs w:val="32"/>
        </w:rPr>
        <w:t xml:space="preserve"> </w:t>
      </w:r>
      <w:r w:rsidR="007630FD" w:rsidRPr="00E41C04">
        <w:rPr>
          <w:b/>
          <w:bCs/>
          <w:i/>
          <w:caps/>
          <w:color w:val="005DAA"/>
          <w:kern w:val="32"/>
        </w:rPr>
        <w:t xml:space="preserve">FAQ &amp; </w:t>
      </w:r>
      <w:r w:rsidR="00A20A27" w:rsidRPr="005C01BD">
        <w:rPr>
          <w:b/>
          <w:bCs/>
          <w:i/>
          <w:caps/>
          <w:color w:val="005DAA"/>
          <w:kern w:val="32"/>
        </w:rPr>
        <w:t>talking points</w:t>
      </w:r>
    </w:p>
    <w:p w:rsidR="008C4E2A" w:rsidRPr="004E3FAA" w:rsidRDefault="00994C71" w:rsidP="00416C18">
      <w:r w:rsidRPr="00B22BC1">
        <w:t xml:space="preserve"> </w:t>
      </w:r>
    </w:p>
    <w:p w:rsidR="00994C71" w:rsidRPr="0031382A" w:rsidRDefault="004A6AC6" w:rsidP="00994C71">
      <w:pPr>
        <w:rPr>
          <w:rFonts w:ascii="Arial Narrow" w:hAnsi="Arial Narrow"/>
        </w:rPr>
      </w:pPr>
      <w:r w:rsidRPr="0031382A">
        <w:rPr>
          <w:rFonts w:ascii="Arial Narrow" w:hAnsi="Arial Narrow"/>
        </w:rPr>
        <w:t xml:space="preserve">The Rotary Foundation </w:t>
      </w:r>
      <w:r w:rsidR="00793649" w:rsidRPr="0031382A">
        <w:rPr>
          <w:rFonts w:ascii="Arial Narrow" w:hAnsi="Arial Narrow"/>
        </w:rPr>
        <w:t xml:space="preserve">(TRF) </w:t>
      </w:r>
      <w:r w:rsidRPr="0031382A">
        <w:rPr>
          <w:rFonts w:ascii="Arial Narrow" w:hAnsi="Arial Narrow"/>
        </w:rPr>
        <w:t>remains dedicated to funding its global programs. The Trustees have</w:t>
      </w:r>
      <w:r w:rsidR="001B5240" w:rsidRPr="0031382A">
        <w:rPr>
          <w:rFonts w:ascii="Arial Narrow" w:hAnsi="Arial Narrow"/>
        </w:rPr>
        <w:t xml:space="preserve"> taken measures</w:t>
      </w:r>
      <w:r w:rsidRPr="0031382A">
        <w:rPr>
          <w:rFonts w:ascii="Arial Narrow" w:hAnsi="Arial Narrow"/>
        </w:rPr>
        <w:t xml:space="preserve"> to strengthen </w:t>
      </w:r>
      <w:r w:rsidR="009F54BA" w:rsidRPr="0031382A">
        <w:rPr>
          <w:rFonts w:ascii="Arial Narrow" w:hAnsi="Arial Narrow"/>
        </w:rPr>
        <w:t xml:space="preserve">TRF’s </w:t>
      </w:r>
      <w:r w:rsidRPr="0031382A">
        <w:rPr>
          <w:rFonts w:ascii="Arial Narrow" w:hAnsi="Arial Narrow"/>
        </w:rPr>
        <w:t xml:space="preserve">long term financial sustainability. </w:t>
      </w:r>
      <w:r w:rsidR="00994C71" w:rsidRPr="0031382A">
        <w:rPr>
          <w:rFonts w:ascii="Arial Narrow" w:hAnsi="Arial Narrow"/>
        </w:rPr>
        <w:t xml:space="preserve">In July 2015, </w:t>
      </w:r>
      <w:r w:rsidR="00D014D6" w:rsidRPr="0031382A">
        <w:rPr>
          <w:rFonts w:ascii="Arial Narrow" w:hAnsi="Arial Narrow"/>
        </w:rPr>
        <w:t>TRF</w:t>
      </w:r>
      <w:r w:rsidR="00994C71" w:rsidRPr="0031382A">
        <w:rPr>
          <w:rFonts w:ascii="Arial Narrow" w:hAnsi="Arial Narrow"/>
        </w:rPr>
        <w:t xml:space="preserve"> will </w:t>
      </w:r>
      <w:r w:rsidRPr="0031382A">
        <w:rPr>
          <w:rFonts w:ascii="Arial Narrow" w:hAnsi="Arial Narrow"/>
        </w:rPr>
        <w:t xml:space="preserve">augment the funding sources it uses to cover its </w:t>
      </w:r>
      <w:r w:rsidR="00994C71" w:rsidRPr="0031382A">
        <w:rPr>
          <w:rFonts w:ascii="Arial Narrow" w:hAnsi="Arial Narrow"/>
        </w:rPr>
        <w:t xml:space="preserve">administrative and fund development expenses. Currently, such overhead costs are covered by two sources: </w:t>
      </w:r>
    </w:p>
    <w:p w:rsidR="00994C71" w:rsidRPr="0031382A" w:rsidRDefault="00994C71" w:rsidP="00A55771">
      <w:pPr>
        <w:pStyle w:val="BodyParagraph"/>
        <w:numPr>
          <w:ilvl w:val="0"/>
          <w:numId w:val="22"/>
        </w:numPr>
      </w:pPr>
      <w:r w:rsidRPr="0031382A">
        <w:t xml:space="preserve">Investment earnings from the Annual Fund </w:t>
      </w:r>
    </w:p>
    <w:p w:rsidR="00994C71" w:rsidRPr="0031382A" w:rsidRDefault="00BA5CE6" w:rsidP="00A55771">
      <w:pPr>
        <w:pStyle w:val="BodyParagraph"/>
        <w:numPr>
          <w:ilvl w:val="0"/>
          <w:numId w:val="22"/>
        </w:numPr>
      </w:pPr>
      <w:r w:rsidRPr="0031382A">
        <w:t>A</w:t>
      </w:r>
      <w:r w:rsidR="00994C71" w:rsidRPr="0031382A">
        <w:t xml:space="preserve"> portion of the spendable earnings from the Endowment Fund </w:t>
      </w:r>
    </w:p>
    <w:p w:rsidR="008044D6" w:rsidRPr="0031382A" w:rsidRDefault="00994C71" w:rsidP="00A55771">
      <w:pPr>
        <w:pStyle w:val="BodyParagraph"/>
      </w:pPr>
      <w:r w:rsidRPr="0031382A">
        <w:t xml:space="preserve">As of 1 July 2015, </w:t>
      </w:r>
      <w:r w:rsidR="00793649" w:rsidRPr="0031382A">
        <w:t>TRF</w:t>
      </w:r>
      <w:r w:rsidR="004A6AC6" w:rsidRPr="0031382A">
        <w:t xml:space="preserve"> will supplement </w:t>
      </w:r>
      <w:r w:rsidRPr="0031382A">
        <w:t xml:space="preserve">funding from </w:t>
      </w:r>
      <w:r w:rsidR="004A6AC6" w:rsidRPr="0031382A">
        <w:t xml:space="preserve">these </w:t>
      </w:r>
      <w:r w:rsidRPr="0031382A">
        <w:t>t</w:t>
      </w:r>
      <w:r w:rsidR="00105568" w:rsidRPr="0031382A">
        <w:t>hree</w:t>
      </w:r>
      <w:r w:rsidRPr="0031382A">
        <w:t xml:space="preserve"> sources: </w:t>
      </w:r>
    </w:p>
    <w:p w:rsidR="008044D6" w:rsidRPr="0031382A" w:rsidRDefault="00994C71" w:rsidP="00A55771">
      <w:pPr>
        <w:pStyle w:val="BodyParagraph"/>
        <w:numPr>
          <w:ilvl w:val="0"/>
          <w:numId w:val="23"/>
        </w:numPr>
      </w:pPr>
      <w:r w:rsidRPr="0031382A">
        <w:t xml:space="preserve">5% of the contributions to the Annual Fund </w:t>
      </w:r>
    </w:p>
    <w:p w:rsidR="00994C71" w:rsidRPr="0031382A" w:rsidRDefault="00994C71" w:rsidP="00A55771">
      <w:pPr>
        <w:pStyle w:val="BodyParagraph"/>
        <w:numPr>
          <w:ilvl w:val="0"/>
          <w:numId w:val="23"/>
        </w:numPr>
      </w:pPr>
      <w:r w:rsidRPr="0031382A">
        <w:t xml:space="preserve">5% of grant contributions, formerly known as “flow-through cash” </w:t>
      </w:r>
    </w:p>
    <w:p w:rsidR="003B16E4" w:rsidRPr="0031382A" w:rsidRDefault="00105568" w:rsidP="00A55771">
      <w:pPr>
        <w:pStyle w:val="BodyParagraph"/>
        <w:numPr>
          <w:ilvl w:val="0"/>
          <w:numId w:val="23"/>
        </w:numPr>
      </w:pPr>
      <w:r w:rsidRPr="0031382A">
        <w:t>10% or less of select corporate gifts</w:t>
      </w:r>
    </w:p>
    <w:p w:rsidR="008044D6" w:rsidRPr="0031382A" w:rsidRDefault="008044D6" w:rsidP="00A55771">
      <w:pPr>
        <w:pStyle w:val="BodyParagraph"/>
      </w:pPr>
    </w:p>
    <w:tbl>
      <w:tblPr>
        <w:tblStyle w:val="TableGrid"/>
        <w:tblW w:w="0" w:type="auto"/>
        <w:tblLook w:val="04A0" w:firstRow="1" w:lastRow="0" w:firstColumn="1" w:lastColumn="0" w:noHBand="0" w:noVBand="1"/>
      </w:tblPr>
      <w:tblGrid>
        <w:gridCol w:w="5418"/>
        <w:gridCol w:w="8554"/>
      </w:tblGrid>
      <w:tr w:rsidR="003F2448" w:rsidRPr="0031382A" w:rsidTr="00D126E0">
        <w:trPr>
          <w:trHeight w:val="386"/>
        </w:trPr>
        <w:tc>
          <w:tcPr>
            <w:tcW w:w="5418" w:type="dxa"/>
            <w:vAlign w:val="center"/>
          </w:tcPr>
          <w:p w:rsidR="005E377D" w:rsidRPr="0031382A" w:rsidRDefault="00105568" w:rsidP="00A55771">
            <w:pPr>
              <w:pStyle w:val="BodyParagraph"/>
            </w:pPr>
            <w:r w:rsidRPr="0031382A">
              <w:t>Question</w:t>
            </w:r>
          </w:p>
        </w:tc>
        <w:tc>
          <w:tcPr>
            <w:tcW w:w="8554" w:type="dxa"/>
            <w:vAlign w:val="center"/>
          </w:tcPr>
          <w:p w:rsidR="005E377D" w:rsidRPr="0031382A" w:rsidRDefault="00105568" w:rsidP="00A55771">
            <w:pPr>
              <w:pStyle w:val="BodyParagraph"/>
            </w:pPr>
            <w:r w:rsidRPr="0031382A">
              <w:t>Answer</w:t>
            </w:r>
          </w:p>
        </w:tc>
      </w:tr>
      <w:tr w:rsidR="003F2448" w:rsidRPr="0031382A" w:rsidTr="00D126E0">
        <w:trPr>
          <w:trHeight w:val="496"/>
        </w:trPr>
        <w:tc>
          <w:tcPr>
            <w:tcW w:w="5418" w:type="dxa"/>
            <w:vAlign w:val="center"/>
          </w:tcPr>
          <w:p w:rsidR="004A6AC6" w:rsidRPr="00CB7521" w:rsidRDefault="009832A9" w:rsidP="009832A9">
            <w:pPr>
              <w:pStyle w:val="BodyParagraph"/>
            </w:pPr>
            <w:r w:rsidRPr="0031382A">
              <w:rPr>
                <w:b/>
              </w:rPr>
              <w:t>1</w:t>
            </w:r>
            <w:r w:rsidR="004F58AF" w:rsidRPr="0031382A">
              <w:rPr>
                <w:b/>
              </w:rPr>
              <w:t>.</w:t>
            </w:r>
            <w:r w:rsidR="00CE36AE" w:rsidRPr="0031382A">
              <w:t xml:space="preserve"> </w:t>
            </w:r>
            <w:r w:rsidR="00A47636" w:rsidRPr="0031382A">
              <w:t xml:space="preserve">Isn’t </w:t>
            </w:r>
            <w:r w:rsidR="003E1E65" w:rsidRPr="0031382A">
              <w:t>the funding model</w:t>
            </w:r>
            <w:r w:rsidR="004A6AC6" w:rsidRPr="0031382A">
              <w:t xml:space="preserve"> a big shift for TRF?</w:t>
            </w:r>
            <w:r w:rsidR="000E0B92" w:rsidRPr="0031382A">
              <w:t xml:space="preserve"> </w:t>
            </w:r>
            <w:r w:rsidR="00592474" w:rsidRPr="0031382A">
              <w:t xml:space="preserve"> </w:t>
            </w:r>
          </w:p>
        </w:tc>
        <w:tc>
          <w:tcPr>
            <w:tcW w:w="8554" w:type="dxa"/>
            <w:vAlign w:val="center"/>
          </w:tcPr>
          <w:p w:rsidR="004A6AC6" w:rsidRPr="00CB7521" w:rsidRDefault="00BA5CE6" w:rsidP="00A55771">
            <w:pPr>
              <w:pStyle w:val="BodyParagraph"/>
            </w:pPr>
            <w:r w:rsidRPr="0031382A">
              <w:t xml:space="preserve">No. Much of the model presents no significant change from previous practices. Perhaps most important, there is no change to District Designated Funds. </w:t>
            </w:r>
          </w:p>
        </w:tc>
      </w:tr>
      <w:tr w:rsidR="003F2448" w:rsidRPr="0031382A" w:rsidTr="00D126E0">
        <w:trPr>
          <w:trHeight w:val="496"/>
        </w:trPr>
        <w:tc>
          <w:tcPr>
            <w:tcW w:w="5418" w:type="dxa"/>
            <w:vAlign w:val="center"/>
          </w:tcPr>
          <w:p w:rsidR="003B16E4" w:rsidRPr="00CB7521" w:rsidRDefault="00E63965" w:rsidP="00A55771">
            <w:pPr>
              <w:pStyle w:val="BodyParagraph"/>
            </w:pPr>
            <w:r w:rsidRPr="0031382A">
              <w:rPr>
                <w:b/>
              </w:rPr>
              <w:t>2</w:t>
            </w:r>
            <w:r w:rsidR="004F58AF" w:rsidRPr="0031382A">
              <w:rPr>
                <w:b/>
              </w:rPr>
              <w:t>.</w:t>
            </w:r>
            <w:r w:rsidR="00CE36AE" w:rsidRPr="0031382A">
              <w:t xml:space="preserve"> </w:t>
            </w:r>
            <w:r w:rsidR="003B16E4" w:rsidRPr="0031382A">
              <w:t>W</w:t>
            </w:r>
            <w:r w:rsidR="00CB5EBD" w:rsidRPr="0031382A">
              <w:t>hen</w:t>
            </w:r>
            <w:r w:rsidR="003B16E4" w:rsidRPr="0031382A">
              <w:t xml:space="preserve"> does </w:t>
            </w:r>
            <w:r w:rsidR="00372821" w:rsidRPr="0031382A">
              <w:t>the funding model</w:t>
            </w:r>
            <w:r w:rsidR="003B16E4" w:rsidRPr="0031382A">
              <w:t xml:space="preserve"> become effective?</w:t>
            </w:r>
          </w:p>
        </w:tc>
        <w:tc>
          <w:tcPr>
            <w:tcW w:w="8554" w:type="dxa"/>
            <w:vAlign w:val="center"/>
          </w:tcPr>
          <w:p w:rsidR="003B16E4" w:rsidRPr="00CB7521" w:rsidRDefault="00372821" w:rsidP="00A55771">
            <w:pPr>
              <w:pStyle w:val="BodyParagraph"/>
            </w:pPr>
            <w:r w:rsidRPr="0031382A">
              <w:t>O</w:t>
            </w:r>
            <w:r w:rsidR="00260A92" w:rsidRPr="0031382A">
              <w:t>n 1</w:t>
            </w:r>
            <w:r w:rsidR="003B16E4" w:rsidRPr="0031382A">
              <w:t xml:space="preserve"> July 2015. </w:t>
            </w:r>
            <w:r w:rsidR="00A33FF3" w:rsidRPr="0031382A">
              <w:t>All</w:t>
            </w:r>
            <w:r w:rsidR="003B16E4" w:rsidRPr="0031382A">
              <w:t xml:space="preserve"> contributions made prior to that date will </w:t>
            </w:r>
            <w:r w:rsidR="006C144E" w:rsidRPr="0031382A">
              <w:t xml:space="preserve">not </w:t>
            </w:r>
            <w:r w:rsidR="003B16E4" w:rsidRPr="0031382A">
              <w:t xml:space="preserve">be </w:t>
            </w:r>
            <w:r w:rsidR="00CA6546" w:rsidRPr="0031382A">
              <w:t>a</w:t>
            </w:r>
            <w:r w:rsidR="006C144E" w:rsidRPr="0031382A">
              <w:t>ffected and will be processed</w:t>
            </w:r>
            <w:r w:rsidR="003B16E4" w:rsidRPr="0031382A">
              <w:t xml:space="preserve"> </w:t>
            </w:r>
            <w:r w:rsidR="006C144E" w:rsidRPr="0031382A">
              <w:t xml:space="preserve">using </w:t>
            </w:r>
            <w:r w:rsidR="006F66C6" w:rsidRPr="0031382A">
              <w:t xml:space="preserve">the current </w:t>
            </w:r>
            <w:r w:rsidR="00D27E85" w:rsidRPr="0031382A">
              <w:t>system</w:t>
            </w:r>
            <w:r w:rsidR="006C144E" w:rsidRPr="0031382A">
              <w:t>.</w:t>
            </w:r>
            <w:r w:rsidR="003B16E4" w:rsidRPr="0031382A">
              <w:t xml:space="preserve"> </w:t>
            </w:r>
          </w:p>
        </w:tc>
      </w:tr>
      <w:tr w:rsidR="006E2286" w:rsidRPr="0031382A" w:rsidTr="00D126E0">
        <w:trPr>
          <w:trHeight w:val="496"/>
        </w:trPr>
        <w:tc>
          <w:tcPr>
            <w:tcW w:w="5418" w:type="dxa"/>
            <w:vAlign w:val="center"/>
          </w:tcPr>
          <w:p w:rsidR="006E2286" w:rsidRPr="0031382A" w:rsidRDefault="009832A9" w:rsidP="00E4231B">
            <w:pPr>
              <w:spacing w:after="0" w:line="240" w:lineRule="auto"/>
              <w:rPr>
                <w:rFonts w:ascii="Arial Narrow" w:eastAsia="SimSun" w:hAnsi="Arial Narrow" w:cs="Calibri"/>
                <w:lang w:eastAsia="en-US"/>
              </w:rPr>
            </w:pPr>
            <w:r w:rsidRPr="0031382A">
              <w:rPr>
                <w:rFonts w:ascii="Arial Narrow" w:eastAsia="SimSun" w:hAnsi="Arial Narrow" w:cs="Calibri"/>
                <w:b/>
              </w:rPr>
              <w:t>3</w:t>
            </w:r>
            <w:r w:rsidR="004F58AF" w:rsidRPr="0031382A">
              <w:rPr>
                <w:rFonts w:ascii="Arial Narrow" w:eastAsia="SimSun" w:hAnsi="Arial Narrow" w:cs="Calibri"/>
                <w:b/>
              </w:rPr>
              <w:t>.</w:t>
            </w:r>
            <w:r w:rsidR="00CE36AE" w:rsidRPr="0031382A">
              <w:rPr>
                <w:rFonts w:ascii="Arial Narrow" w:eastAsia="SimSun" w:hAnsi="Arial Narrow" w:cs="Calibri"/>
              </w:rPr>
              <w:t xml:space="preserve"> </w:t>
            </w:r>
            <w:r w:rsidR="006E2286" w:rsidRPr="0031382A">
              <w:rPr>
                <w:rFonts w:ascii="Arial Narrow" w:eastAsia="SimSun" w:hAnsi="Arial Narrow" w:cs="Calibri"/>
              </w:rPr>
              <w:t>Will the</w:t>
            </w:r>
            <w:r w:rsidR="000647DD">
              <w:rPr>
                <w:rFonts w:ascii="Arial Narrow" w:eastAsia="SimSun" w:hAnsi="Arial Narrow" w:cs="Calibri"/>
              </w:rPr>
              <w:t xml:space="preserve"> additional </w:t>
            </w:r>
            <w:r w:rsidR="006E2286" w:rsidRPr="0031382A">
              <w:rPr>
                <w:rFonts w:ascii="Arial Narrow" w:eastAsia="SimSun" w:hAnsi="Arial Narrow" w:cs="Calibri"/>
              </w:rPr>
              <w:t>5%</w:t>
            </w:r>
            <w:r w:rsidR="000647DD">
              <w:rPr>
                <w:rFonts w:ascii="Arial Narrow" w:eastAsia="SimSun" w:hAnsi="Arial Narrow" w:cs="Calibri"/>
              </w:rPr>
              <w:t xml:space="preserve"> contribution</w:t>
            </w:r>
            <w:r w:rsidR="006E2286" w:rsidRPr="0031382A">
              <w:rPr>
                <w:rFonts w:ascii="Arial Narrow" w:eastAsia="SimSun" w:hAnsi="Arial Narrow" w:cs="Calibri"/>
              </w:rPr>
              <w:t xml:space="preserve"> </w:t>
            </w:r>
            <w:r w:rsidR="006E2286" w:rsidRPr="000647DD">
              <w:rPr>
                <w:rFonts w:ascii="Arial Narrow" w:eastAsia="SimSun" w:hAnsi="Arial Narrow" w:cs="Calibri"/>
              </w:rPr>
              <w:t>be</w:t>
            </w:r>
            <w:r w:rsidR="006E2286" w:rsidRPr="0031382A">
              <w:rPr>
                <w:rFonts w:ascii="Arial Narrow" w:eastAsia="SimSun" w:hAnsi="Arial Narrow" w:cs="Calibri"/>
              </w:rPr>
              <w:t xml:space="preserve"> required for processing global grant cash if the grant is </w:t>
            </w:r>
            <w:r w:rsidR="008D6E91">
              <w:rPr>
                <w:rFonts w:ascii="Arial Narrow" w:eastAsia="SimSun" w:hAnsi="Arial Narrow" w:cs="Calibri"/>
              </w:rPr>
              <w:t xml:space="preserve">submitted or </w:t>
            </w:r>
            <w:r w:rsidR="006E2286" w:rsidRPr="0031382A">
              <w:rPr>
                <w:rFonts w:ascii="Arial Narrow" w:eastAsia="SimSun" w:hAnsi="Arial Narrow" w:cs="Calibri"/>
              </w:rPr>
              <w:t xml:space="preserve">approved </w:t>
            </w:r>
            <w:r w:rsidR="00E31C16" w:rsidRPr="0031382A">
              <w:rPr>
                <w:rFonts w:ascii="Arial Narrow" w:eastAsia="SimSun" w:hAnsi="Arial Narrow" w:cs="Calibri"/>
              </w:rPr>
              <w:t>prior to</w:t>
            </w:r>
            <w:r w:rsidR="006E2286" w:rsidRPr="0031382A">
              <w:rPr>
                <w:rFonts w:ascii="Arial Narrow" w:eastAsia="SimSun" w:hAnsi="Arial Narrow" w:cs="Calibri"/>
              </w:rPr>
              <w:t xml:space="preserve"> 1 July? Or does the cash have to be received by TRF before 1 July?</w:t>
            </w:r>
          </w:p>
          <w:p w:rsidR="006E2286" w:rsidRPr="00CB7521" w:rsidRDefault="006E2286" w:rsidP="00A55771">
            <w:pPr>
              <w:pStyle w:val="BodyParagraph"/>
            </w:pPr>
          </w:p>
        </w:tc>
        <w:tc>
          <w:tcPr>
            <w:tcW w:w="8554" w:type="dxa"/>
            <w:vAlign w:val="center"/>
          </w:tcPr>
          <w:p w:rsidR="006E2286" w:rsidRPr="00CB7521" w:rsidDel="00372821" w:rsidRDefault="00E3719D" w:rsidP="008D6E91">
            <w:pPr>
              <w:pStyle w:val="BodyParagraph"/>
            </w:pPr>
            <w:r w:rsidRPr="0031382A">
              <w:t xml:space="preserve">All global grants </w:t>
            </w:r>
            <w:r w:rsidR="008D6E91">
              <w:t>submitted</w:t>
            </w:r>
            <w:r w:rsidR="008D6E91" w:rsidRPr="0031382A">
              <w:t xml:space="preserve"> </w:t>
            </w:r>
            <w:r w:rsidR="00E31C16" w:rsidRPr="0031382A">
              <w:t>prior to</w:t>
            </w:r>
            <w:r w:rsidRPr="0031382A">
              <w:t xml:space="preserve"> 30 June 2015 will be exempt from the 5% supplemental amount required for processing cash contributions. Cash does not have to be received by TRF prior to 1 July for the exemption to apply.</w:t>
            </w:r>
            <w:r w:rsidR="000647DD">
              <w:t xml:space="preserve">  Global grants that are in Draft or Authorization Pending status will be subject to the additional 5% contribution.</w:t>
            </w:r>
          </w:p>
        </w:tc>
      </w:tr>
      <w:tr w:rsidR="003F2448" w:rsidRPr="0031382A" w:rsidTr="00D126E0">
        <w:trPr>
          <w:trHeight w:val="496"/>
        </w:trPr>
        <w:tc>
          <w:tcPr>
            <w:tcW w:w="5418" w:type="dxa"/>
            <w:vAlign w:val="center"/>
          </w:tcPr>
          <w:p w:rsidR="005E377D" w:rsidRPr="00CB7521" w:rsidRDefault="00DF1575" w:rsidP="00A55771">
            <w:pPr>
              <w:pStyle w:val="BodyParagraph"/>
            </w:pPr>
            <w:r w:rsidRPr="0031382A">
              <w:rPr>
                <w:b/>
              </w:rPr>
              <w:t>4</w:t>
            </w:r>
            <w:r w:rsidR="004F58AF" w:rsidRPr="0031382A">
              <w:rPr>
                <w:b/>
              </w:rPr>
              <w:t>.</w:t>
            </w:r>
            <w:r w:rsidR="00CE36AE" w:rsidRPr="0031382A">
              <w:t xml:space="preserve"> </w:t>
            </w:r>
            <w:r w:rsidR="00B07FA9" w:rsidRPr="0031382A">
              <w:t>W</w:t>
            </w:r>
            <w:r w:rsidR="00CB5EBD" w:rsidRPr="0031382A">
              <w:t>hy</w:t>
            </w:r>
            <w:r w:rsidR="00B07FA9" w:rsidRPr="0031382A">
              <w:t xml:space="preserve"> does TRF need a funding model?</w:t>
            </w:r>
          </w:p>
        </w:tc>
        <w:tc>
          <w:tcPr>
            <w:tcW w:w="8554" w:type="dxa"/>
            <w:vAlign w:val="center"/>
          </w:tcPr>
          <w:p w:rsidR="006C144E" w:rsidRPr="00CB7521" w:rsidRDefault="003E1E65" w:rsidP="001B5240">
            <w:pPr>
              <w:rPr>
                <w:rFonts w:ascii="Arial Narrow" w:hAnsi="Arial Narrow"/>
              </w:rPr>
            </w:pPr>
            <w:r w:rsidRPr="0031382A">
              <w:rPr>
                <w:rFonts w:ascii="Arial Narrow" w:hAnsi="Arial Narrow"/>
              </w:rPr>
              <w:t>Currently, TRF relies on net</w:t>
            </w:r>
            <w:r w:rsidR="006F66C6" w:rsidRPr="0031382A">
              <w:rPr>
                <w:rFonts w:ascii="Arial Narrow" w:hAnsi="Arial Narrow"/>
              </w:rPr>
              <w:t xml:space="preserve"> investment returns to fund the majority of its operating </w:t>
            </w:r>
            <w:r w:rsidRPr="0031382A">
              <w:rPr>
                <w:rFonts w:ascii="Arial Narrow" w:hAnsi="Arial Narrow"/>
              </w:rPr>
              <w:t>expenses (fund development and general and</w:t>
            </w:r>
            <w:r w:rsidR="00D9287C">
              <w:rPr>
                <w:rFonts w:ascii="Arial Narrow" w:hAnsi="Arial Narrow"/>
              </w:rPr>
              <w:t xml:space="preserve"> </w:t>
            </w:r>
            <w:r w:rsidRPr="00C97316">
              <w:rPr>
                <w:rFonts w:ascii="Arial Narrow" w:hAnsi="Arial Narrow"/>
              </w:rPr>
              <w:t>administration</w:t>
            </w:r>
            <w:r w:rsidRPr="0031382A">
              <w:rPr>
                <w:rFonts w:ascii="Arial Narrow" w:hAnsi="Arial Narrow"/>
              </w:rPr>
              <w:t xml:space="preserve"> expenses).</w:t>
            </w:r>
            <w:r w:rsidR="006F66C6" w:rsidRPr="0031382A">
              <w:rPr>
                <w:rFonts w:ascii="Arial Narrow" w:hAnsi="Arial Narrow"/>
              </w:rPr>
              <w:t xml:space="preserve"> The operating reserve (funds set aside to cover expenses in times of need) is not</w:t>
            </w:r>
            <w:r w:rsidRPr="0031382A">
              <w:rPr>
                <w:rFonts w:ascii="Arial Narrow" w:hAnsi="Arial Narrow"/>
              </w:rPr>
              <w:t xml:space="preserve"> always fully funded</w:t>
            </w:r>
            <w:r w:rsidR="006F66C6" w:rsidRPr="0031382A">
              <w:rPr>
                <w:rFonts w:ascii="Arial Narrow" w:hAnsi="Arial Narrow"/>
              </w:rPr>
              <w:t>. I</w:t>
            </w:r>
            <w:r w:rsidR="006C144E" w:rsidRPr="0031382A">
              <w:rPr>
                <w:rFonts w:ascii="Arial Narrow" w:hAnsi="Arial Narrow"/>
              </w:rPr>
              <w:t>f there is an earnings shortfall, we may not</w:t>
            </w:r>
            <w:r w:rsidRPr="0031382A">
              <w:rPr>
                <w:rFonts w:ascii="Arial Narrow" w:hAnsi="Arial Narrow"/>
              </w:rPr>
              <w:t xml:space="preserve"> always have sufficient investment returns</w:t>
            </w:r>
            <w:r w:rsidR="006C144E" w:rsidRPr="0031382A">
              <w:rPr>
                <w:rFonts w:ascii="Arial Narrow" w:hAnsi="Arial Narrow"/>
              </w:rPr>
              <w:t xml:space="preserve"> to pay for </w:t>
            </w:r>
            <w:r w:rsidR="008B7488" w:rsidRPr="0031382A">
              <w:rPr>
                <w:rFonts w:ascii="Arial Narrow" w:hAnsi="Arial Narrow"/>
              </w:rPr>
              <w:t>TRF’s</w:t>
            </w:r>
            <w:r w:rsidR="006C144E" w:rsidRPr="0031382A">
              <w:rPr>
                <w:rFonts w:ascii="Arial Narrow" w:hAnsi="Arial Narrow"/>
              </w:rPr>
              <w:t xml:space="preserve"> operating expenses. If that were to occur, we may have to cut spending on programs. </w:t>
            </w:r>
          </w:p>
          <w:p w:rsidR="00FA4FAF" w:rsidRPr="00CB7521" w:rsidRDefault="003E1E65" w:rsidP="00793649">
            <w:pPr>
              <w:rPr>
                <w:rFonts w:ascii="Arial Narrow" w:hAnsi="Arial Narrow" w:cs="Arial"/>
              </w:rPr>
            </w:pPr>
            <w:r w:rsidRPr="0031382A">
              <w:rPr>
                <w:rFonts w:ascii="Arial Narrow" w:hAnsi="Arial Narrow"/>
              </w:rPr>
              <w:t xml:space="preserve">The Trustees want to ensure </w:t>
            </w:r>
            <w:r w:rsidR="00793649" w:rsidRPr="0031382A">
              <w:rPr>
                <w:rFonts w:ascii="Arial Narrow" w:hAnsi="Arial Narrow"/>
              </w:rPr>
              <w:t>TRF</w:t>
            </w:r>
            <w:r w:rsidR="00B07FA9" w:rsidRPr="0031382A">
              <w:rPr>
                <w:rFonts w:ascii="Arial Narrow" w:hAnsi="Arial Narrow"/>
              </w:rPr>
              <w:t xml:space="preserve"> has sufficient resources to operate in the future</w:t>
            </w:r>
            <w:r w:rsidR="006F66C6" w:rsidRPr="0031382A">
              <w:rPr>
                <w:rFonts w:ascii="Arial Narrow" w:hAnsi="Arial Narrow"/>
              </w:rPr>
              <w:t xml:space="preserve"> without adversely impacting its </w:t>
            </w:r>
            <w:r w:rsidR="00B07FA9" w:rsidRPr="0031382A">
              <w:rPr>
                <w:rFonts w:ascii="Arial Narrow" w:hAnsi="Arial Narrow"/>
              </w:rPr>
              <w:t xml:space="preserve">programs. When the economic downturn hit in 2008, </w:t>
            </w:r>
            <w:r w:rsidR="00793649" w:rsidRPr="0031382A">
              <w:rPr>
                <w:rFonts w:ascii="Arial Narrow" w:hAnsi="Arial Narrow"/>
              </w:rPr>
              <w:t>TRF</w:t>
            </w:r>
            <w:r w:rsidR="00B07FA9" w:rsidRPr="0031382A">
              <w:rPr>
                <w:rFonts w:ascii="Arial Narrow" w:hAnsi="Arial Narrow"/>
              </w:rPr>
              <w:t xml:space="preserve"> did not ha</w:t>
            </w:r>
            <w:r w:rsidRPr="0031382A">
              <w:rPr>
                <w:rFonts w:ascii="Arial Narrow" w:hAnsi="Arial Narrow"/>
              </w:rPr>
              <w:t>ve sufficient return on investment to fund operating expenses.</w:t>
            </w:r>
            <w:r w:rsidR="00FD0499" w:rsidRPr="0031382A">
              <w:rPr>
                <w:rFonts w:ascii="Arial Narrow" w:hAnsi="Arial Narrow"/>
              </w:rPr>
              <w:t xml:space="preserve"> </w:t>
            </w:r>
            <w:r w:rsidR="00B07FA9" w:rsidRPr="0031382A">
              <w:rPr>
                <w:rFonts w:ascii="Arial Narrow" w:hAnsi="Arial Narrow"/>
              </w:rPr>
              <w:t xml:space="preserve">In </w:t>
            </w:r>
            <w:r w:rsidR="00806F26" w:rsidRPr="0031382A">
              <w:rPr>
                <w:rFonts w:ascii="Arial Narrow" w:hAnsi="Arial Narrow"/>
              </w:rPr>
              <w:t xml:space="preserve">2009, in </w:t>
            </w:r>
            <w:r w:rsidR="00B07FA9" w:rsidRPr="0031382A">
              <w:rPr>
                <w:rFonts w:ascii="Arial Narrow" w:hAnsi="Arial Narrow"/>
              </w:rPr>
              <w:t>order to continue “Doing Good I</w:t>
            </w:r>
            <w:r w:rsidRPr="0031382A">
              <w:rPr>
                <w:rFonts w:ascii="Arial Narrow" w:hAnsi="Arial Narrow"/>
              </w:rPr>
              <w:t>n the World</w:t>
            </w:r>
            <w:r w:rsidR="00793649" w:rsidRPr="0031382A">
              <w:rPr>
                <w:rFonts w:ascii="Arial Narrow" w:hAnsi="Arial Narrow"/>
              </w:rPr>
              <w:t>,</w:t>
            </w:r>
            <w:r w:rsidRPr="0031382A">
              <w:rPr>
                <w:rFonts w:ascii="Arial Narrow" w:hAnsi="Arial Narrow"/>
              </w:rPr>
              <w:t>”</w:t>
            </w:r>
            <w:r w:rsidR="00B07FA9" w:rsidRPr="0031382A">
              <w:rPr>
                <w:rFonts w:ascii="Arial Narrow" w:hAnsi="Arial Narrow"/>
              </w:rPr>
              <w:t xml:space="preserve"> it w</w:t>
            </w:r>
            <w:r w:rsidRPr="0031382A">
              <w:rPr>
                <w:rFonts w:ascii="Arial Narrow" w:hAnsi="Arial Narrow"/>
              </w:rPr>
              <w:t>as necessary to fund operating expenses from the World Fund.</w:t>
            </w:r>
            <w:r w:rsidR="00B07FA9" w:rsidRPr="0031382A">
              <w:rPr>
                <w:rFonts w:ascii="Arial Narrow" w:hAnsi="Arial Narrow"/>
              </w:rPr>
              <w:t xml:space="preserve"> </w:t>
            </w:r>
          </w:p>
        </w:tc>
      </w:tr>
      <w:tr w:rsidR="003F2448" w:rsidRPr="0031382A" w:rsidTr="00D126E0">
        <w:trPr>
          <w:trHeight w:val="496"/>
        </w:trPr>
        <w:tc>
          <w:tcPr>
            <w:tcW w:w="5418" w:type="dxa"/>
            <w:vAlign w:val="center"/>
          </w:tcPr>
          <w:p w:rsidR="005E377D" w:rsidRPr="00CB7521" w:rsidRDefault="00DF1575" w:rsidP="00A55771">
            <w:pPr>
              <w:pStyle w:val="BodyParagraph"/>
            </w:pPr>
            <w:r w:rsidRPr="0031382A">
              <w:rPr>
                <w:b/>
              </w:rPr>
              <w:t>5</w:t>
            </w:r>
            <w:r w:rsidR="004F58AF" w:rsidRPr="0031382A">
              <w:rPr>
                <w:b/>
              </w:rPr>
              <w:t>.</w:t>
            </w:r>
            <w:r w:rsidR="00CE36AE" w:rsidRPr="0031382A">
              <w:t xml:space="preserve"> </w:t>
            </w:r>
            <w:r w:rsidR="003E1E65" w:rsidRPr="0031382A">
              <w:t xml:space="preserve">What does it mean to fully fund </w:t>
            </w:r>
            <w:r w:rsidR="005E2F64" w:rsidRPr="0031382A">
              <w:t>the operating reserve</w:t>
            </w:r>
            <w:r w:rsidR="00B07FA9" w:rsidRPr="0031382A">
              <w:t>?</w:t>
            </w:r>
            <w:r w:rsidR="000E0B92" w:rsidRPr="0031382A">
              <w:t xml:space="preserve"> </w:t>
            </w:r>
          </w:p>
          <w:p w:rsidR="000E0B92" w:rsidRPr="00CB7521" w:rsidRDefault="000E0B92" w:rsidP="00A55771">
            <w:pPr>
              <w:pStyle w:val="BodyParagraph"/>
            </w:pPr>
          </w:p>
        </w:tc>
        <w:tc>
          <w:tcPr>
            <w:tcW w:w="8554" w:type="dxa"/>
            <w:vAlign w:val="center"/>
          </w:tcPr>
          <w:p w:rsidR="00D05589" w:rsidRPr="00CB7521" w:rsidRDefault="005E2F64" w:rsidP="003F3D43">
            <w:pPr>
              <w:pStyle w:val="BodyParagraph"/>
            </w:pPr>
            <w:r w:rsidRPr="0031382A">
              <w:t xml:space="preserve">TRF should </w:t>
            </w:r>
            <w:r w:rsidR="008044D6" w:rsidRPr="0031382A">
              <w:t xml:space="preserve">have operating reserves equal to three years of </w:t>
            </w:r>
            <w:r w:rsidRPr="0031382A">
              <w:t xml:space="preserve">operating </w:t>
            </w:r>
            <w:r w:rsidR="008044D6" w:rsidRPr="0031382A">
              <w:t>expenses</w:t>
            </w:r>
            <w:r w:rsidR="003E1E65" w:rsidRPr="0031382A">
              <w:t xml:space="preserve"> (</w:t>
            </w:r>
            <w:r w:rsidRPr="0031382A">
              <w:t xml:space="preserve">fund </w:t>
            </w:r>
            <w:r w:rsidR="008044D6" w:rsidRPr="0031382A">
              <w:t xml:space="preserve">development and </w:t>
            </w:r>
            <w:r w:rsidRPr="0031382A">
              <w:t>general</w:t>
            </w:r>
            <w:r w:rsidR="00C97316">
              <w:t xml:space="preserve"> and</w:t>
            </w:r>
            <w:r w:rsidR="003F3D43">
              <w:t xml:space="preserve"> administration expenses</w:t>
            </w:r>
            <w:r w:rsidR="003E1E65" w:rsidRPr="0031382A">
              <w:t>). In 2015 this is approximately equal to US</w:t>
            </w:r>
            <w:r w:rsidR="00F02A0F" w:rsidRPr="0031382A">
              <w:t>$</w:t>
            </w:r>
            <w:r w:rsidR="003E1E65" w:rsidRPr="0031382A">
              <w:t>67 million.</w:t>
            </w:r>
            <w:r w:rsidR="008044D6" w:rsidRPr="0031382A">
              <w:t xml:space="preserve"> </w:t>
            </w:r>
          </w:p>
        </w:tc>
      </w:tr>
      <w:tr w:rsidR="003F2448" w:rsidRPr="0031382A" w:rsidTr="00D126E0">
        <w:trPr>
          <w:trHeight w:val="496"/>
        </w:trPr>
        <w:tc>
          <w:tcPr>
            <w:tcW w:w="5418" w:type="dxa"/>
            <w:vAlign w:val="center"/>
          </w:tcPr>
          <w:p w:rsidR="005E2F64" w:rsidRPr="00CB7521" w:rsidRDefault="00DF1575" w:rsidP="00A55771">
            <w:pPr>
              <w:pStyle w:val="BodyParagraph"/>
            </w:pPr>
            <w:r w:rsidRPr="0031382A">
              <w:rPr>
                <w:b/>
              </w:rPr>
              <w:t>6</w:t>
            </w:r>
            <w:r w:rsidR="004F58AF" w:rsidRPr="0031382A">
              <w:rPr>
                <w:b/>
              </w:rPr>
              <w:t>.</w:t>
            </w:r>
            <w:r w:rsidR="00CE36AE" w:rsidRPr="0031382A">
              <w:t xml:space="preserve"> </w:t>
            </w:r>
            <w:r w:rsidR="003E1E65" w:rsidRPr="0031382A">
              <w:t>How does the funding model work?</w:t>
            </w:r>
          </w:p>
          <w:p w:rsidR="000E0B92" w:rsidRPr="00CB7521" w:rsidRDefault="000E0B92" w:rsidP="00A55771">
            <w:pPr>
              <w:pStyle w:val="BodyParagraph"/>
            </w:pPr>
          </w:p>
        </w:tc>
        <w:tc>
          <w:tcPr>
            <w:tcW w:w="8554" w:type="dxa"/>
            <w:vAlign w:val="center"/>
          </w:tcPr>
          <w:p w:rsidR="00184D8A" w:rsidRPr="00CB7521" w:rsidRDefault="00184D8A" w:rsidP="00A55771">
            <w:pPr>
              <w:pStyle w:val="BodyParagraph"/>
            </w:pPr>
            <w:r w:rsidRPr="0031382A">
              <w:t>At the end of each fiscal year, we review the operating expenses to determine if there are sufficient net investment returns, endowment fund spendable earnings</w:t>
            </w:r>
            <w:r w:rsidR="009C684F" w:rsidRPr="0031382A">
              <w:t>,</w:t>
            </w:r>
            <w:r w:rsidRPr="0031382A">
              <w:t xml:space="preserve"> and 5% of grant cash.  If these sources are sufficient to pay operating expenses then the 5% of </w:t>
            </w:r>
            <w:r w:rsidR="009C684F" w:rsidRPr="0031382A">
              <w:t>A</w:t>
            </w:r>
            <w:r w:rsidRPr="0031382A">
              <w:t xml:space="preserve">nnual </w:t>
            </w:r>
            <w:r w:rsidR="009C684F" w:rsidRPr="0031382A">
              <w:t>F</w:t>
            </w:r>
            <w:r w:rsidRPr="0031382A">
              <w:t>und contributions are not needed.</w:t>
            </w:r>
          </w:p>
          <w:p w:rsidR="005E2F64" w:rsidRPr="00CB7521" w:rsidRDefault="00184D8A" w:rsidP="00A55771">
            <w:pPr>
              <w:pStyle w:val="BodyParagraph"/>
            </w:pPr>
            <w:r w:rsidRPr="0031382A">
              <w:t xml:space="preserve">The next priority is funding the operating reserve up </w:t>
            </w:r>
            <w:r w:rsidR="005E2F64" w:rsidRPr="0031382A">
              <w:t xml:space="preserve">to </w:t>
            </w:r>
            <w:r w:rsidR="00F02A0F" w:rsidRPr="0031382A">
              <w:t>three</w:t>
            </w:r>
            <w:r w:rsidR="005E2F64" w:rsidRPr="0031382A">
              <w:t xml:space="preserve"> year</w:t>
            </w:r>
            <w:r w:rsidRPr="0031382A">
              <w:t xml:space="preserve">s of operating expenses (approximately </w:t>
            </w:r>
            <w:r w:rsidR="00F02A0F" w:rsidRPr="0031382A">
              <w:t>$</w:t>
            </w:r>
            <w:r w:rsidRPr="0031382A">
              <w:t xml:space="preserve">67 </w:t>
            </w:r>
            <w:r w:rsidR="005E2F64" w:rsidRPr="0031382A">
              <w:t>million)</w:t>
            </w:r>
            <w:r w:rsidR="00A2151F" w:rsidRPr="0031382A">
              <w:t>. I</w:t>
            </w:r>
            <w:r w:rsidRPr="0031382A">
              <w:t>f the operating reserve is fully funded</w:t>
            </w:r>
            <w:r w:rsidR="00A2151F" w:rsidRPr="0031382A">
              <w:t>,</w:t>
            </w:r>
            <w:r w:rsidRPr="0031382A">
              <w:t xml:space="preserve"> then</w:t>
            </w:r>
            <w:r w:rsidR="00A94D16" w:rsidRPr="0031382A">
              <w:t xml:space="preserve"> t</w:t>
            </w:r>
            <w:r w:rsidRPr="0031382A">
              <w:t>he 5% of Annual Fund contributions stays in the World Fund.</w:t>
            </w:r>
            <w:r w:rsidR="005E2F64" w:rsidRPr="0031382A">
              <w:br/>
            </w:r>
            <w:r w:rsidRPr="0031382A">
              <w:t xml:space="preserve">  </w:t>
            </w:r>
            <w:r w:rsidR="005E2F64" w:rsidRPr="0031382A">
              <w:br/>
            </w:r>
            <w:r w:rsidR="00352912" w:rsidRPr="0031382A">
              <w:t>Finally, t</w:t>
            </w:r>
            <w:r w:rsidR="005E2F64" w:rsidRPr="0031382A">
              <w:t>he World Fund</w:t>
            </w:r>
            <w:r w:rsidRPr="0031382A">
              <w:t xml:space="preserve"> is measured to determine if the balance</w:t>
            </w:r>
            <w:r w:rsidR="005E2F64" w:rsidRPr="0031382A">
              <w:t xml:space="preserve"> equals </w:t>
            </w:r>
            <w:r w:rsidR="00BA5CE6" w:rsidRPr="0031382A">
              <w:t xml:space="preserve">50% of </w:t>
            </w:r>
            <w:r w:rsidR="001929F4" w:rsidRPr="0031382A">
              <w:t>three</w:t>
            </w:r>
            <w:r w:rsidR="001C2C78" w:rsidRPr="0031382A">
              <w:t xml:space="preserve"> prior years of</w:t>
            </w:r>
            <w:r w:rsidR="005E2F64" w:rsidRPr="0031382A">
              <w:t xml:space="preserve"> contributions plus a growth factor of $</w:t>
            </w:r>
            <w:r w:rsidR="00352912" w:rsidRPr="0031382A">
              <w:t>5</w:t>
            </w:r>
            <w:r w:rsidR="001929F4" w:rsidRPr="0031382A">
              <w:t xml:space="preserve"> </w:t>
            </w:r>
            <w:r w:rsidR="00352912" w:rsidRPr="0031382A">
              <w:t>million</w:t>
            </w:r>
            <w:r w:rsidR="00EF7FD5" w:rsidRPr="0031382A">
              <w:t>.</w:t>
            </w:r>
            <w:r w:rsidR="00352912" w:rsidRPr="0031382A">
              <w:t xml:space="preserve"> </w:t>
            </w:r>
            <w:r w:rsidR="00EF7FD5" w:rsidRPr="0031382A">
              <w:t>I</w:t>
            </w:r>
            <w:r w:rsidR="001C2C78" w:rsidRPr="0031382A">
              <w:t>f the balance in the World Fund</w:t>
            </w:r>
            <w:r w:rsidR="00EF7FD5" w:rsidRPr="0031382A">
              <w:t xml:space="preserve"> exceeds</w:t>
            </w:r>
            <w:r w:rsidR="001C2C78" w:rsidRPr="0031382A">
              <w:t xml:space="preserve"> </w:t>
            </w:r>
            <w:r w:rsidR="00EF7FD5" w:rsidRPr="0031382A">
              <w:t>that total amount</w:t>
            </w:r>
            <w:r w:rsidR="001C2C78" w:rsidRPr="0031382A">
              <w:t xml:space="preserve">, only then will the excess be transferred to </w:t>
            </w:r>
            <w:r w:rsidR="005E2F64" w:rsidRPr="0031382A">
              <w:t>the Endowment Fund.</w:t>
            </w:r>
          </w:p>
          <w:p w:rsidR="001C2C78" w:rsidRPr="00CB7521" w:rsidRDefault="001C2C78" w:rsidP="000B5FC6">
            <w:pPr>
              <w:pStyle w:val="BodyParagraph"/>
            </w:pPr>
            <w:r w:rsidRPr="00367A51">
              <w:rPr>
                <w:b/>
              </w:rPr>
              <w:t>It is important to note that the 5% earmarked from the Annual Fund is only used when needed</w:t>
            </w:r>
            <w:r w:rsidR="00C97316" w:rsidRPr="00367A51">
              <w:rPr>
                <w:b/>
              </w:rPr>
              <w:t>.</w:t>
            </w:r>
            <w:r w:rsidRPr="0031382A">
              <w:t xml:space="preserve"> </w:t>
            </w:r>
          </w:p>
        </w:tc>
      </w:tr>
      <w:tr w:rsidR="003F2448" w:rsidRPr="0031382A" w:rsidTr="00D126E0">
        <w:trPr>
          <w:trHeight w:val="496"/>
        </w:trPr>
        <w:tc>
          <w:tcPr>
            <w:tcW w:w="5418" w:type="dxa"/>
            <w:vAlign w:val="center"/>
          </w:tcPr>
          <w:p w:rsidR="005E377D" w:rsidRPr="00CB7521" w:rsidRDefault="00DF1575" w:rsidP="00A55771">
            <w:pPr>
              <w:pStyle w:val="BodyParagraph"/>
            </w:pPr>
            <w:r w:rsidRPr="0031382A">
              <w:rPr>
                <w:b/>
              </w:rPr>
              <w:t>7</w:t>
            </w:r>
            <w:r w:rsidR="004F58AF" w:rsidRPr="0031382A">
              <w:rPr>
                <w:b/>
              </w:rPr>
              <w:t>.</w:t>
            </w:r>
            <w:r w:rsidR="00CE36AE" w:rsidRPr="0031382A">
              <w:t xml:space="preserve"> </w:t>
            </w:r>
            <w:r w:rsidR="008C4E2A" w:rsidRPr="0031382A">
              <w:t>How will</w:t>
            </w:r>
            <w:r w:rsidR="00662B8A" w:rsidRPr="0031382A">
              <w:t xml:space="preserve"> the funding model</w:t>
            </w:r>
            <w:r w:rsidR="008C4E2A" w:rsidRPr="0031382A">
              <w:t xml:space="preserve"> </w:t>
            </w:r>
            <w:r w:rsidR="00662B8A" w:rsidRPr="0031382A">
              <w:t>a</w:t>
            </w:r>
            <w:r w:rsidR="008C4E2A" w:rsidRPr="0031382A">
              <w:t>ffect DDF?</w:t>
            </w:r>
          </w:p>
        </w:tc>
        <w:tc>
          <w:tcPr>
            <w:tcW w:w="8554" w:type="dxa"/>
            <w:vAlign w:val="center"/>
          </w:tcPr>
          <w:p w:rsidR="008C4E2A" w:rsidRPr="00CB7521" w:rsidRDefault="008C4E2A" w:rsidP="00A55771">
            <w:pPr>
              <w:pStyle w:val="BodyParagraph"/>
            </w:pPr>
            <w:r w:rsidRPr="0031382A">
              <w:rPr>
                <w:b/>
              </w:rPr>
              <w:t xml:space="preserve">There is no impact </w:t>
            </w:r>
            <w:r w:rsidR="008D04F0" w:rsidRPr="0031382A">
              <w:rPr>
                <w:b/>
              </w:rPr>
              <w:t>on</w:t>
            </w:r>
            <w:r w:rsidRPr="0031382A">
              <w:rPr>
                <w:b/>
              </w:rPr>
              <w:t xml:space="preserve"> DDF</w:t>
            </w:r>
            <w:r w:rsidR="00BA5CE6" w:rsidRPr="0031382A">
              <w:rPr>
                <w:b/>
              </w:rPr>
              <w:t>.</w:t>
            </w:r>
            <w:r w:rsidRPr="0031382A">
              <w:t xml:space="preserve"> Contributions to the Annual Fund SHARE will be allocated 50% to DDF and 50% to the W</w:t>
            </w:r>
            <w:r w:rsidR="001C2C78" w:rsidRPr="0031382A">
              <w:t xml:space="preserve">orld Fund, as usual. 5% of the Annual Fund contributions in </w:t>
            </w:r>
            <w:r w:rsidR="005E2F64" w:rsidRPr="0031382A">
              <w:t>the World Fund will</w:t>
            </w:r>
            <w:r w:rsidR="001C2C78" w:rsidRPr="0031382A">
              <w:t xml:space="preserve"> be</w:t>
            </w:r>
            <w:r w:rsidR="005E2F64" w:rsidRPr="0031382A">
              <w:t xml:space="preserve"> earmark</w:t>
            </w:r>
            <w:r w:rsidR="001C2C78" w:rsidRPr="0031382A">
              <w:t>ed to pay operating expenses or fill the operating reserve</w:t>
            </w:r>
            <w:r w:rsidRPr="0031382A">
              <w:t xml:space="preserve">, </w:t>
            </w:r>
            <w:r w:rsidR="005E2F64" w:rsidRPr="0031382A">
              <w:t xml:space="preserve">but </w:t>
            </w:r>
            <w:r w:rsidR="005E2F64" w:rsidRPr="0031382A">
              <w:rPr>
                <w:b/>
              </w:rPr>
              <w:t>only if the funds are needed</w:t>
            </w:r>
            <w:r w:rsidRPr="0031382A">
              <w:rPr>
                <w:b/>
              </w:rPr>
              <w:t>.</w:t>
            </w:r>
          </w:p>
        </w:tc>
      </w:tr>
      <w:tr w:rsidR="003F2448" w:rsidRPr="0031382A" w:rsidTr="00BA1FB3">
        <w:trPr>
          <w:trHeight w:val="496"/>
        </w:trPr>
        <w:tc>
          <w:tcPr>
            <w:tcW w:w="5418" w:type="dxa"/>
            <w:vAlign w:val="center"/>
          </w:tcPr>
          <w:p w:rsidR="00D126E0" w:rsidRPr="00CB7521" w:rsidRDefault="00CE36AE" w:rsidP="00A55771">
            <w:pPr>
              <w:pStyle w:val="BodyParagraph"/>
            </w:pPr>
            <w:r w:rsidRPr="0031382A">
              <w:rPr>
                <w:b/>
              </w:rPr>
              <w:t>8</w:t>
            </w:r>
            <w:r w:rsidR="004F58AF" w:rsidRPr="0031382A">
              <w:rPr>
                <w:b/>
              </w:rPr>
              <w:t>.</w:t>
            </w:r>
            <w:r w:rsidRPr="0031382A">
              <w:t xml:space="preserve"> </w:t>
            </w:r>
            <w:r w:rsidR="00D126E0" w:rsidRPr="0031382A">
              <w:t>How will global grants funding</w:t>
            </w:r>
            <w:r w:rsidR="00BA1FB3" w:rsidRPr="0031382A">
              <w:t xml:space="preserve"> be affected</w:t>
            </w:r>
            <w:r w:rsidR="00D126E0" w:rsidRPr="0031382A">
              <w:t>?</w:t>
            </w:r>
          </w:p>
        </w:tc>
        <w:tc>
          <w:tcPr>
            <w:tcW w:w="8554" w:type="dxa"/>
            <w:vAlign w:val="center"/>
          </w:tcPr>
          <w:p w:rsidR="00D126E0" w:rsidRPr="00CB7521" w:rsidRDefault="00BA1FB3" w:rsidP="000B5FC6">
            <w:pPr>
              <w:pStyle w:val="BodyParagraph"/>
            </w:pPr>
            <w:r w:rsidRPr="0031382A">
              <w:t>A</w:t>
            </w:r>
            <w:r w:rsidR="00D126E0" w:rsidRPr="0031382A">
              <w:t>n addition</w:t>
            </w:r>
            <w:r w:rsidRPr="0031382A">
              <w:t>al</w:t>
            </w:r>
            <w:r w:rsidR="00D126E0" w:rsidRPr="0031382A">
              <w:t xml:space="preserve"> 5% </w:t>
            </w:r>
            <w:r w:rsidR="00D126E0" w:rsidRPr="0031382A">
              <w:rPr>
                <w:rFonts w:eastAsiaTheme="minorEastAsia"/>
                <w:iCs/>
                <w:color w:val="000000"/>
                <w14:textOutline w14:w="9207" w14:cap="flat" w14:cmpd="sng" w14:algn="ctr">
                  <w14:noFill/>
                  <w14:prstDash w14:val="solid"/>
                  <w14:round/>
                </w14:textOutline>
              </w:rPr>
              <w:t>cash contribution</w:t>
            </w:r>
            <w:r w:rsidRPr="0031382A">
              <w:t xml:space="preserve"> will be required to</w:t>
            </w:r>
            <w:r w:rsidR="00D126E0" w:rsidRPr="0031382A">
              <w:t xml:space="preserve"> fund a </w:t>
            </w:r>
            <w:r w:rsidRPr="0031382A">
              <w:t>g</w:t>
            </w:r>
            <w:r w:rsidR="00D126E0" w:rsidRPr="0031382A">
              <w:t xml:space="preserve">lobal </w:t>
            </w:r>
            <w:r w:rsidRPr="0031382A">
              <w:t>g</w:t>
            </w:r>
            <w:r w:rsidR="00D126E0" w:rsidRPr="0031382A">
              <w:t>rant. A</w:t>
            </w:r>
            <w:r w:rsidR="008B4844" w:rsidRPr="0031382A">
              <w:t xml:space="preserve"> system</w:t>
            </w:r>
            <w:r w:rsidR="00D126E0" w:rsidRPr="0031382A">
              <w:t xml:space="preserve"> change</w:t>
            </w:r>
            <w:r w:rsidR="00C97316">
              <w:t xml:space="preserve"> has been</w:t>
            </w:r>
            <w:r w:rsidR="00D126E0" w:rsidRPr="0031382A">
              <w:t xml:space="preserve"> made to the global grant </w:t>
            </w:r>
            <w:r w:rsidR="00C97316">
              <w:t xml:space="preserve">pages </w:t>
            </w:r>
            <w:r w:rsidR="00D126E0" w:rsidRPr="0031382A">
              <w:t xml:space="preserve">in SmartSimple (the online application) </w:t>
            </w:r>
            <w:r w:rsidR="008B4844" w:rsidRPr="0031382A">
              <w:t xml:space="preserve">so </w:t>
            </w:r>
            <w:r w:rsidR="00D126E0" w:rsidRPr="0031382A">
              <w:t>that Rotarians will know</w:t>
            </w:r>
            <w:r w:rsidR="00C97316">
              <w:t xml:space="preserve"> immediately</w:t>
            </w:r>
            <w:r w:rsidR="00D126E0" w:rsidRPr="0031382A">
              <w:t xml:space="preserve"> the 5% </w:t>
            </w:r>
            <w:r w:rsidR="00D9287C">
              <w:t>amount</w:t>
            </w:r>
            <w:r w:rsidR="00C97316">
              <w:t xml:space="preserve"> that </w:t>
            </w:r>
            <w:r w:rsidR="00D126E0" w:rsidRPr="0031382A">
              <w:t xml:space="preserve">is being added and </w:t>
            </w:r>
            <w:r w:rsidRPr="0031382A">
              <w:t>t</w:t>
            </w:r>
            <w:r w:rsidR="00D126E0" w:rsidRPr="0031382A">
              <w:t xml:space="preserve">he </w:t>
            </w:r>
            <w:r w:rsidRPr="0031382A">
              <w:t xml:space="preserve">total amount </w:t>
            </w:r>
            <w:r w:rsidR="00D126E0" w:rsidRPr="0031382A">
              <w:t>required</w:t>
            </w:r>
            <w:r w:rsidR="008B4844" w:rsidRPr="0031382A">
              <w:t xml:space="preserve"> </w:t>
            </w:r>
            <w:r w:rsidR="00D126E0" w:rsidRPr="0031382A">
              <w:t>for the project to be fully funded.</w:t>
            </w:r>
          </w:p>
        </w:tc>
      </w:tr>
      <w:tr w:rsidR="00AE38BE" w:rsidRPr="0031382A" w:rsidTr="00BA1FB3">
        <w:trPr>
          <w:trHeight w:val="496"/>
        </w:trPr>
        <w:tc>
          <w:tcPr>
            <w:tcW w:w="5418" w:type="dxa"/>
            <w:vAlign w:val="center"/>
          </w:tcPr>
          <w:p w:rsidR="00AE38BE" w:rsidRPr="0031382A" w:rsidRDefault="00AE38BE" w:rsidP="00E4231B">
            <w:pPr>
              <w:spacing w:after="0" w:line="240" w:lineRule="auto"/>
              <w:rPr>
                <w:rFonts w:ascii="Arial Narrow" w:eastAsia="Times New Roman" w:hAnsi="Arial Narrow" w:cs="Times New Roman"/>
                <w:lang w:eastAsia="en-US"/>
              </w:rPr>
            </w:pPr>
          </w:p>
          <w:p w:rsidR="00AE38BE" w:rsidRPr="0031382A" w:rsidRDefault="00CE36AE" w:rsidP="00E4231B">
            <w:pPr>
              <w:spacing w:after="0" w:line="240" w:lineRule="auto"/>
              <w:rPr>
                <w:rFonts w:ascii="Arial Narrow" w:eastAsia="Times New Roman" w:hAnsi="Arial Narrow" w:cs="Times New Roman"/>
                <w:lang w:eastAsia="en-US"/>
              </w:rPr>
            </w:pPr>
            <w:r w:rsidRPr="0031382A">
              <w:rPr>
                <w:rFonts w:ascii="Arial Narrow" w:hAnsi="Arial Narrow"/>
                <w:b/>
              </w:rPr>
              <w:t>9</w:t>
            </w:r>
            <w:r w:rsidR="004F58AF" w:rsidRPr="0031382A">
              <w:rPr>
                <w:rFonts w:ascii="Arial Narrow" w:hAnsi="Arial Narrow"/>
                <w:b/>
              </w:rPr>
              <w:t>.</w:t>
            </w:r>
            <w:r w:rsidRPr="0031382A">
              <w:rPr>
                <w:rFonts w:ascii="Arial Narrow" w:hAnsi="Arial Narrow"/>
              </w:rPr>
              <w:t xml:space="preserve"> </w:t>
            </w:r>
            <w:r w:rsidR="00AE38BE" w:rsidRPr="0031382A">
              <w:rPr>
                <w:rFonts w:ascii="Arial Narrow" w:hAnsi="Arial Narrow"/>
              </w:rPr>
              <w:t>How will TRF know how to calculate the additional 5% for cash contributions to the grant? For example, if TRF receives $1,050, will it deduct $50 (5% of $1,000) for the cost of processing the cash and direct $1,000 to the grant? Or will TRF take off $52.50 (5% of $1,050) and direct $997.50 to the grant?</w:t>
            </w:r>
          </w:p>
          <w:p w:rsidR="00AE38BE" w:rsidRPr="00CB7521" w:rsidRDefault="00AE38BE" w:rsidP="00A55771">
            <w:pPr>
              <w:pStyle w:val="BodyParagraph"/>
            </w:pPr>
          </w:p>
        </w:tc>
        <w:tc>
          <w:tcPr>
            <w:tcW w:w="8554" w:type="dxa"/>
            <w:vAlign w:val="center"/>
          </w:tcPr>
          <w:p w:rsidR="00C96951" w:rsidRPr="00CB7521" w:rsidRDefault="00C96951" w:rsidP="00C96951">
            <w:pPr>
              <w:spacing w:after="200"/>
              <w:rPr>
                <w:rFonts w:ascii="Arial Narrow" w:eastAsia="Calibri" w:hAnsi="Arial Narrow"/>
              </w:rPr>
            </w:pPr>
            <w:r w:rsidRPr="0031382A">
              <w:rPr>
                <w:rFonts w:ascii="Arial Narrow" w:eastAsia="Calibri" w:hAnsi="Arial Narrow"/>
              </w:rPr>
              <w:t xml:space="preserve">It is up to the project sponsor to indicate to TRF the amount of cash being contributed to the grant. For example, if the sponsor sends $1,050 to TRF and identifies $1,000 as the grant cash amount, then TRF will deduct $50 for processing the cash and apply $1,000 to the grant.   </w:t>
            </w:r>
          </w:p>
          <w:p w:rsidR="00AE38BE" w:rsidRPr="00CB7521" w:rsidDel="00BA1FB3" w:rsidRDefault="00AE38BE" w:rsidP="00A55771">
            <w:pPr>
              <w:pStyle w:val="BodyParagraph"/>
            </w:pPr>
          </w:p>
        </w:tc>
      </w:tr>
      <w:tr w:rsidR="003F2448" w:rsidRPr="0031382A" w:rsidTr="00D126E0">
        <w:trPr>
          <w:trHeight w:val="496"/>
        </w:trPr>
        <w:tc>
          <w:tcPr>
            <w:tcW w:w="5418" w:type="dxa"/>
            <w:vAlign w:val="center"/>
          </w:tcPr>
          <w:p w:rsidR="00D126E0" w:rsidRPr="00CB7521" w:rsidRDefault="00CE36AE" w:rsidP="00A55771">
            <w:pPr>
              <w:pStyle w:val="BodyParagraph"/>
            </w:pPr>
            <w:r w:rsidRPr="0031382A">
              <w:rPr>
                <w:b/>
              </w:rPr>
              <w:t>10</w:t>
            </w:r>
            <w:r w:rsidR="004F58AF" w:rsidRPr="0031382A">
              <w:rPr>
                <w:b/>
              </w:rPr>
              <w:t>.</w:t>
            </w:r>
            <w:r w:rsidRPr="0031382A">
              <w:t xml:space="preserve"> </w:t>
            </w:r>
            <w:r w:rsidR="00D126E0" w:rsidRPr="0031382A">
              <w:t>Why are we making this change to global grants?</w:t>
            </w:r>
          </w:p>
          <w:p w:rsidR="00D126E0" w:rsidRPr="00CB7521" w:rsidRDefault="00D126E0" w:rsidP="00A55771">
            <w:pPr>
              <w:pStyle w:val="BodyParagraph"/>
            </w:pPr>
          </w:p>
        </w:tc>
        <w:tc>
          <w:tcPr>
            <w:tcW w:w="8554" w:type="dxa"/>
            <w:vAlign w:val="center"/>
          </w:tcPr>
          <w:p w:rsidR="00D126E0" w:rsidRPr="00CB7521" w:rsidRDefault="00D126E0" w:rsidP="002C3FF0">
            <w:pPr>
              <w:pStyle w:val="BodyParagraph"/>
            </w:pPr>
            <w:r w:rsidRPr="0031382A">
              <w:t>Under the current system, the cash contributed in support of a grant by Rotarians, clubs, and districts requires administration, but these funds do not go through the three-year investment cycle to help generate income. The additional 5% cash contributions for global grants will help pay the costs of processing these funds.</w:t>
            </w:r>
          </w:p>
        </w:tc>
      </w:tr>
      <w:tr w:rsidR="005E0E53" w:rsidRPr="0031382A" w:rsidTr="00D126E0">
        <w:trPr>
          <w:trHeight w:val="496"/>
        </w:trPr>
        <w:tc>
          <w:tcPr>
            <w:tcW w:w="5418" w:type="dxa"/>
            <w:vAlign w:val="center"/>
          </w:tcPr>
          <w:p w:rsidR="005E0E53" w:rsidRPr="0031382A" w:rsidRDefault="00CE36AE" w:rsidP="00E4231B">
            <w:pPr>
              <w:spacing w:after="0" w:line="240" w:lineRule="auto"/>
              <w:rPr>
                <w:rFonts w:ascii="Arial Narrow" w:eastAsia="SimSun" w:hAnsi="Arial Narrow" w:cs="Calibri"/>
                <w:lang w:eastAsia="en-US"/>
              </w:rPr>
            </w:pPr>
            <w:r w:rsidRPr="0031382A">
              <w:rPr>
                <w:rFonts w:ascii="Arial Narrow" w:eastAsia="SimSun" w:hAnsi="Arial Narrow" w:cs="Calibri"/>
                <w:b/>
              </w:rPr>
              <w:t>11</w:t>
            </w:r>
            <w:r w:rsidR="00866656" w:rsidRPr="0031382A">
              <w:rPr>
                <w:rFonts w:ascii="Arial Narrow" w:eastAsia="SimSun" w:hAnsi="Arial Narrow" w:cs="Calibri"/>
                <w:b/>
              </w:rPr>
              <w:t>.</w:t>
            </w:r>
            <w:r w:rsidRPr="0031382A">
              <w:rPr>
                <w:rFonts w:ascii="Arial Narrow" w:eastAsia="SimSun" w:hAnsi="Arial Narrow" w:cs="Calibri"/>
              </w:rPr>
              <w:t xml:space="preserve"> </w:t>
            </w:r>
            <w:r w:rsidR="00E402B3" w:rsidRPr="0031382A">
              <w:rPr>
                <w:rFonts w:ascii="Arial Narrow" w:eastAsia="SimSun" w:hAnsi="Arial Narrow" w:cs="Calibri"/>
              </w:rPr>
              <w:t>W</w:t>
            </w:r>
            <w:r w:rsidR="005E0E53" w:rsidRPr="0031382A">
              <w:rPr>
                <w:rFonts w:ascii="Arial Narrow" w:eastAsia="SimSun" w:hAnsi="Arial Narrow" w:cs="Calibri"/>
              </w:rPr>
              <w:t>hy is the additional 5% needed for cash sent directly to TRF but not for cash sent to the project bank account? How can accepting cash one day and wiring it, along with DDF and the World Fund match for the grant, cost 5% of the cash submitted?</w:t>
            </w:r>
          </w:p>
          <w:p w:rsidR="005E0E53" w:rsidRPr="00CB7521" w:rsidRDefault="005E0E53" w:rsidP="00A55771">
            <w:pPr>
              <w:pStyle w:val="BodyParagraph"/>
            </w:pPr>
          </w:p>
        </w:tc>
        <w:tc>
          <w:tcPr>
            <w:tcW w:w="8554" w:type="dxa"/>
            <w:vAlign w:val="center"/>
          </w:tcPr>
          <w:p w:rsidR="00E402B3" w:rsidRPr="00CB7521" w:rsidRDefault="00E402B3" w:rsidP="00E402B3">
            <w:pPr>
              <w:spacing w:after="200"/>
              <w:rPr>
                <w:rFonts w:ascii="Arial Narrow" w:eastAsia="Calibri" w:hAnsi="Arial Narrow"/>
                <w:sz w:val="22"/>
                <w:szCs w:val="22"/>
              </w:rPr>
            </w:pPr>
          </w:p>
          <w:p w:rsidR="00E402B3" w:rsidRPr="00CB7521" w:rsidRDefault="00E402B3" w:rsidP="00E402B3">
            <w:pPr>
              <w:spacing w:after="200"/>
              <w:rPr>
                <w:rFonts w:ascii="Arial Narrow" w:eastAsia="Calibri" w:hAnsi="Arial Narrow"/>
              </w:rPr>
            </w:pPr>
            <w:r w:rsidRPr="0031382A">
              <w:rPr>
                <w:rFonts w:ascii="Arial Narrow" w:eastAsia="Calibri" w:hAnsi="Arial Narrow"/>
              </w:rPr>
              <w:t>The additional 5% cash contribution is needed to pay the cost of processing these funds. A global grant usually has multiple sponsors who support it with cash. And because the participating clubs are in different countries, currency conversion is often needed, sometimes involving restricted currencies. Some clubs send one payment as a contribution, while others remit multiple payments from members. As a result, the recording, tracking, and donor recognition process is complex. Meanwhile, because contributions are not held for long, minimal investment income is earned to pay the cost of processing the cash.</w:t>
            </w:r>
          </w:p>
          <w:p w:rsidR="005E0E53" w:rsidRPr="00CB7521" w:rsidRDefault="005E0E53" w:rsidP="00A55771">
            <w:pPr>
              <w:pStyle w:val="BodyParagraph"/>
            </w:pPr>
          </w:p>
        </w:tc>
      </w:tr>
      <w:tr w:rsidR="003F2448" w:rsidRPr="0031382A" w:rsidTr="00D126E0">
        <w:trPr>
          <w:trHeight w:val="496"/>
        </w:trPr>
        <w:tc>
          <w:tcPr>
            <w:tcW w:w="5418" w:type="dxa"/>
            <w:vAlign w:val="center"/>
          </w:tcPr>
          <w:p w:rsidR="00D126E0" w:rsidRPr="00CB7521" w:rsidRDefault="00F03945" w:rsidP="00A55771">
            <w:pPr>
              <w:pStyle w:val="BodyParagraph"/>
            </w:pPr>
            <w:r w:rsidRPr="0031382A">
              <w:rPr>
                <w:b/>
              </w:rPr>
              <w:t>12</w:t>
            </w:r>
            <w:r w:rsidR="00866656" w:rsidRPr="0031382A">
              <w:rPr>
                <w:b/>
              </w:rPr>
              <w:t>.</w:t>
            </w:r>
            <w:r w:rsidRPr="0031382A">
              <w:rPr>
                <w:b/>
              </w:rPr>
              <w:t xml:space="preserve"> </w:t>
            </w:r>
            <w:r w:rsidR="00D126E0" w:rsidRPr="0031382A">
              <w:t xml:space="preserve">If cash is contributed toward a global grant, </w:t>
            </w:r>
            <w:r w:rsidR="009D0CEC" w:rsidRPr="0031382A">
              <w:t xml:space="preserve">do </w:t>
            </w:r>
            <w:r w:rsidR="00D126E0" w:rsidRPr="0031382A">
              <w:t>the sponsors need to remit an additional 5% to the Foundation?</w:t>
            </w:r>
          </w:p>
        </w:tc>
        <w:tc>
          <w:tcPr>
            <w:tcW w:w="8554" w:type="dxa"/>
            <w:vAlign w:val="center"/>
          </w:tcPr>
          <w:p w:rsidR="00D126E0" w:rsidRPr="00CB7521" w:rsidRDefault="00D126E0" w:rsidP="00A55771">
            <w:pPr>
              <w:pStyle w:val="BodyParagraph"/>
            </w:pPr>
            <w:r w:rsidRPr="0031382A">
              <w:t xml:space="preserve">Yes.  </w:t>
            </w:r>
            <w:r w:rsidRPr="00367A51">
              <w:rPr>
                <w:b/>
              </w:rPr>
              <w:t>The grant will not be fully funded until all the cash, including the 5%</w:t>
            </w:r>
            <w:r w:rsidR="00A042E1" w:rsidRPr="00367A51">
              <w:rPr>
                <w:b/>
              </w:rPr>
              <w:t>,</w:t>
            </w:r>
            <w:r w:rsidRPr="00367A51">
              <w:rPr>
                <w:b/>
              </w:rPr>
              <w:t xml:space="preserve"> is received.</w:t>
            </w:r>
            <w:r w:rsidRPr="0031382A">
              <w:t xml:space="preserve"> </w:t>
            </w:r>
          </w:p>
          <w:p w:rsidR="00D126E0" w:rsidRPr="00CB7521" w:rsidRDefault="00D03BFC" w:rsidP="00A55771">
            <w:pPr>
              <w:pStyle w:val="BodyParagraph"/>
            </w:pPr>
            <w:r w:rsidRPr="0031382A">
              <w:t>Grant sponsors may choose other alternatives that do not require the additional 5%. For example, if</w:t>
            </w:r>
            <w:r w:rsidR="00D126E0" w:rsidRPr="0031382A">
              <w:t xml:space="preserve"> cash </w:t>
            </w:r>
            <w:r w:rsidRPr="0031382A">
              <w:t xml:space="preserve">is </w:t>
            </w:r>
            <w:r w:rsidR="00D126E0" w:rsidRPr="0031382A">
              <w:t xml:space="preserve">sent directly to the project bank account, </w:t>
            </w:r>
            <w:r w:rsidRPr="0031382A">
              <w:t xml:space="preserve">the </w:t>
            </w:r>
            <w:r w:rsidR="00D126E0" w:rsidRPr="0031382A">
              <w:t xml:space="preserve">5% </w:t>
            </w:r>
            <w:r w:rsidR="00A042E1" w:rsidRPr="0031382A">
              <w:t>of the contribution</w:t>
            </w:r>
            <w:r w:rsidRPr="0031382A">
              <w:t xml:space="preserve"> will </w:t>
            </w:r>
            <w:r w:rsidR="00A042E1" w:rsidRPr="0031382A">
              <w:t>not</w:t>
            </w:r>
            <w:r w:rsidRPr="0031382A">
              <w:t xml:space="preserve"> be</w:t>
            </w:r>
            <w:r w:rsidR="00A042E1" w:rsidRPr="0031382A">
              <w:t xml:space="preserve"> required</w:t>
            </w:r>
            <w:r w:rsidRPr="0031382A">
              <w:t>,</w:t>
            </w:r>
            <w:r w:rsidR="00D126E0" w:rsidRPr="0031382A">
              <w:t xml:space="preserve"> because Rotary is not processing the donation or recognition. </w:t>
            </w:r>
          </w:p>
          <w:p w:rsidR="00D126E0" w:rsidRPr="00CB7521" w:rsidRDefault="00D126E0" w:rsidP="008D6E91">
            <w:pPr>
              <w:pStyle w:val="BodyParagraph"/>
            </w:pPr>
            <w:r w:rsidRPr="0031382A">
              <w:t>Use of DDF also eliminate</w:t>
            </w:r>
            <w:r w:rsidR="00D03BFC" w:rsidRPr="0031382A">
              <w:t>s</w:t>
            </w:r>
            <w:r w:rsidRPr="0031382A">
              <w:t xml:space="preserve"> the need to pay the additional 5%.  Grant sponsors can use the calculation tool in the online application to determine the best fit for their donors and the project to be funded.</w:t>
            </w:r>
          </w:p>
        </w:tc>
      </w:tr>
      <w:tr w:rsidR="00FA4DFD" w:rsidRPr="0031382A" w:rsidTr="00D126E0">
        <w:trPr>
          <w:trHeight w:val="496"/>
        </w:trPr>
        <w:tc>
          <w:tcPr>
            <w:tcW w:w="5418" w:type="dxa"/>
            <w:vAlign w:val="center"/>
          </w:tcPr>
          <w:p w:rsidR="00FA4DFD" w:rsidRPr="00CB7521" w:rsidRDefault="00F03945" w:rsidP="000B5FC6">
            <w:pPr>
              <w:spacing w:after="0" w:line="240" w:lineRule="auto"/>
              <w:rPr>
                <w:rFonts w:ascii="Arial Narrow" w:eastAsia="SimSun" w:hAnsi="Arial Narrow" w:cs="Calibri"/>
              </w:rPr>
            </w:pPr>
            <w:r w:rsidRPr="0031382A">
              <w:rPr>
                <w:rFonts w:ascii="Arial Narrow" w:eastAsia="SimSun" w:hAnsi="Arial Narrow" w:cs="Calibri"/>
                <w:b/>
              </w:rPr>
              <w:t>13</w:t>
            </w:r>
            <w:r w:rsidR="00866656" w:rsidRPr="0031382A">
              <w:rPr>
                <w:rFonts w:ascii="Arial Narrow" w:eastAsia="SimSun" w:hAnsi="Arial Narrow" w:cs="Calibri"/>
                <w:b/>
              </w:rPr>
              <w:t>.</w:t>
            </w:r>
            <w:r w:rsidRPr="0031382A">
              <w:rPr>
                <w:rFonts w:ascii="Arial Narrow" w:eastAsia="SimSun" w:hAnsi="Arial Narrow" w:cs="Calibri"/>
              </w:rPr>
              <w:t xml:space="preserve"> </w:t>
            </w:r>
            <w:r w:rsidR="00FA4DFD" w:rsidRPr="0031382A">
              <w:rPr>
                <w:rFonts w:ascii="Arial Narrow" w:eastAsia="SimSun" w:hAnsi="Arial Narrow" w:cs="Calibri"/>
              </w:rPr>
              <w:t xml:space="preserve">Once we have a </w:t>
            </w:r>
            <w:r w:rsidR="006F3025" w:rsidRPr="0031382A">
              <w:rPr>
                <w:rFonts w:ascii="Arial Narrow" w:eastAsia="SimSun" w:hAnsi="Arial Narrow" w:cs="Calibri"/>
              </w:rPr>
              <w:t xml:space="preserve">global </w:t>
            </w:r>
            <w:r w:rsidR="00FA4DFD" w:rsidRPr="0031382A">
              <w:rPr>
                <w:rFonts w:ascii="Arial Narrow" w:eastAsia="SimSun" w:hAnsi="Arial Narrow" w:cs="Calibri"/>
              </w:rPr>
              <w:t>grant number, can cash flow to that grant without being subject to the 5% for processing?  </w:t>
            </w:r>
            <w:r w:rsidR="006F3025" w:rsidRPr="00CB7521">
              <w:rPr>
                <w:rFonts w:ascii="Arial Narrow" w:hAnsi="Arial Narrow"/>
              </w:rPr>
              <w:t xml:space="preserve"> </w:t>
            </w:r>
          </w:p>
        </w:tc>
        <w:tc>
          <w:tcPr>
            <w:tcW w:w="8554" w:type="dxa"/>
            <w:vAlign w:val="center"/>
          </w:tcPr>
          <w:p w:rsidR="00362AEC" w:rsidRDefault="00362AEC" w:rsidP="006F3025">
            <w:pPr>
              <w:spacing w:after="0" w:line="240" w:lineRule="auto"/>
              <w:rPr>
                <w:rFonts w:ascii="Arial Narrow" w:eastAsia="SimSun" w:hAnsi="Arial Narrow" w:cs="Calibri"/>
              </w:rPr>
            </w:pPr>
          </w:p>
          <w:p w:rsidR="00362AEC" w:rsidRDefault="00362AEC" w:rsidP="006F3025">
            <w:pPr>
              <w:spacing w:after="0" w:line="240" w:lineRule="auto"/>
              <w:rPr>
                <w:rFonts w:ascii="Arial Narrow" w:eastAsia="SimSun" w:hAnsi="Arial Narrow" w:cs="Calibri"/>
              </w:rPr>
            </w:pPr>
          </w:p>
          <w:p w:rsidR="00187CB8" w:rsidRPr="00367A51" w:rsidRDefault="002D6357" w:rsidP="006F3025">
            <w:pPr>
              <w:spacing w:after="0" w:line="240" w:lineRule="auto"/>
              <w:rPr>
                <w:rFonts w:ascii="Arial Narrow" w:eastAsia="SimSun" w:hAnsi="Arial Narrow" w:cs="Calibri"/>
                <w:strike/>
              </w:rPr>
            </w:pPr>
            <w:r w:rsidRPr="0031382A">
              <w:rPr>
                <w:rFonts w:ascii="Arial Narrow" w:eastAsia="SimSun" w:hAnsi="Arial Narrow" w:cs="Calibri"/>
              </w:rPr>
              <w:t>Cash contributed to a specific global grant is still subject to the 5% for processing</w:t>
            </w:r>
            <w:r w:rsidR="00AE54DE">
              <w:rPr>
                <w:rFonts w:ascii="Arial Narrow" w:eastAsia="SimSun" w:hAnsi="Arial Narrow" w:cs="Calibri"/>
              </w:rPr>
              <w:t xml:space="preserve"> as long as it is sent through TRF</w:t>
            </w:r>
            <w:r w:rsidRPr="0031382A">
              <w:rPr>
                <w:rFonts w:ascii="Arial Narrow" w:eastAsia="SimSun" w:hAnsi="Arial Narrow" w:cs="Calibri"/>
              </w:rPr>
              <w:t xml:space="preserve">. </w:t>
            </w:r>
            <w:r w:rsidR="00187CB8" w:rsidRPr="0031382A">
              <w:rPr>
                <w:rFonts w:ascii="Arial Narrow" w:eastAsia="SimSun" w:hAnsi="Arial Narrow" w:cs="Calibri"/>
              </w:rPr>
              <w:t>However, c</w:t>
            </w:r>
            <w:r w:rsidRPr="0031382A">
              <w:rPr>
                <w:rFonts w:ascii="Arial Narrow" w:eastAsia="SimSun" w:hAnsi="Arial Narrow" w:cs="Calibri"/>
              </w:rPr>
              <w:t xml:space="preserve">ash sent directly to the project bank account is not subject to the 5%, </w:t>
            </w:r>
            <w:r w:rsidR="00187CB8" w:rsidRPr="0031382A">
              <w:rPr>
                <w:rFonts w:ascii="Arial Narrow" w:eastAsia="SimSun" w:hAnsi="Arial Narrow" w:cs="Calibri"/>
              </w:rPr>
              <w:t>because Rotary is not processing the donation or recognition.</w:t>
            </w:r>
            <w:r w:rsidR="00437E5F" w:rsidRPr="0031382A">
              <w:rPr>
                <w:rFonts w:ascii="Arial Narrow" w:eastAsia="SimSun" w:hAnsi="Arial Narrow" w:cs="Calibri"/>
              </w:rPr>
              <w:t xml:space="preserve"> </w:t>
            </w:r>
          </w:p>
          <w:p w:rsidR="00187CB8" w:rsidRPr="00CB7521" w:rsidRDefault="00187CB8" w:rsidP="006F3025">
            <w:pPr>
              <w:spacing w:after="0" w:line="240" w:lineRule="auto"/>
              <w:rPr>
                <w:rFonts w:ascii="Arial Narrow" w:eastAsia="SimSun" w:hAnsi="Arial Narrow" w:cs="Calibri"/>
              </w:rPr>
            </w:pPr>
          </w:p>
          <w:p w:rsidR="00FA4DFD" w:rsidRPr="00CB7521" w:rsidRDefault="00FA4DFD" w:rsidP="00367A51">
            <w:pPr>
              <w:spacing w:after="0" w:line="240" w:lineRule="auto"/>
              <w:rPr>
                <w:lang w:eastAsia="en-US"/>
              </w:rPr>
            </w:pPr>
          </w:p>
        </w:tc>
      </w:tr>
      <w:tr w:rsidR="00872E90" w:rsidRPr="0031382A" w:rsidTr="00D126E0">
        <w:trPr>
          <w:trHeight w:val="496"/>
        </w:trPr>
        <w:tc>
          <w:tcPr>
            <w:tcW w:w="5418" w:type="dxa"/>
            <w:vAlign w:val="center"/>
          </w:tcPr>
          <w:p w:rsidR="00872E90" w:rsidRPr="00CB7521" w:rsidRDefault="00E34838" w:rsidP="005878F9">
            <w:pPr>
              <w:pStyle w:val="BodyParagraph"/>
            </w:pPr>
            <w:r w:rsidRPr="0031382A">
              <w:rPr>
                <w:b/>
              </w:rPr>
              <w:t>14</w:t>
            </w:r>
            <w:r w:rsidR="00866656" w:rsidRPr="0031382A">
              <w:rPr>
                <w:b/>
              </w:rPr>
              <w:t>.</w:t>
            </w:r>
            <w:r w:rsidRPr="0031382A">
              <w:t xml:space="preserve"> </w:t>
            </w:r>
            <w:r w:rsidR="00872E90" w:rsidRPr="0031382A">
              <w:t xml:space="preserve">Can DDF be used to pay the 5% </w:t>
            </w:r>
            <w:r w:rsidR="00D80646" w:rsidRPr="0031382A">
              <w:t>to cover</w:t>
            </w:r>
            <w:r w:rsidR="00872E90" w:rsidRPr="0031382A">
              <w:t xml:space="preserve"> </w:t>
            </w:r>
            <w:r w:rsidR="00D80646" w:rsidRPr="0031382A">
              <w:t xml:space="preserve">the cost of </w:t>
            </w:r>
            <w:r w:rsidR="00872E90" w:rsidRPr="0031382A">
              <w:t>processing</w:t>
            </w:r>
            <w:r w:rsidR="00D80646" w:rsidRPr="0031382A">
              <w:t xml:space="preserve"> global grant cash</w:t>
            </w:r>
            <w:r w:rsidR="00872E90" w:rsidRPr="0031382A">
              <w:t>?</w:t>
            </w:r>
          </w:p>
        </w:tc>
        <w:tc>
          <w:tcPr>
            <w:tcW w:w="8554" w:type="dxa"/>
            <w:vAlign w:val="center"/>
          </w:tcPr>
          <w:p w:rsidR="00872E90" w:rsidRPr="00CB7521" w:rsidRDefault="00872E90" w:rsidP="00A55771">
            <w:pPr>
              <w:pStyle w:val="BodyParagraph"/>
            </w:pPr>
            <w:r w:rsidRPr="0031382A">
              <w:t xml:space="preserve">No. DDF can be </w:t>
            </w:r>
            <w:r w:rsidR="00D80646" w:rsidRPr="0031382A">
              <w:t xml:space="preserve">used to contribute to </w:t>
            </w:r>
            <w:r w:rsidRPr="0031382A">
              <w:t>a global grant</w:t>
            </w:r>
            <w:r w:rsidR="00D80646" w:rsidRPr="0031382A">
              <w:t xml:space="preserve">, but not for the 5% to cover the cost of processing cash contributions. </w:t>
            </w:r>
          </w:p>
        </w:tc>
      </w:tr>
      <w:tr w:rsidR="0012690C" w:rsidRPr="0031382A" w:rsidTr="00D126E0">
        <w:trPr>
          <w:trHeight w:val="496"/>
        </w:trPr>
        <w:tc>
          <w:tcPr>
            <w:tcW w:w="5418" w:type="dxa"/>
            <w:vAlign w:val="center"/>
          </w:tcPr>
          <w:p w:rsidR="009A5931" w:rsidRPr="00CB7521" w:rsidRDefault="009A5931" w:rsidP="00E4231B">
            <w:pPr>
              <w:spacing w:before="100" w:beforeAutospacing="1" w:after="100" w:afterAutospacing="1" w:line="240" w:lineRule="auto"/>
              <w:rPr>
                <w:rFonts w:ascii="Arial Narrow" w:eastAsia="SimSun" w:hAnsi="Arial Narrow"/>
                <w:lang w:eastAsia="en-US"/>
              </w:rPr>
            </w:pPr>
          </w:p>
          <w:p w:rsidR="009A5931" w:rsidRPr="00CB7521" w:rsidRDefault="00E34838" w:rsidP="00E4231B">
            <w:pPr>
              <w:spacing w:before="100" w:beforeAutospacing="1" w:after="100" w:afterAutospacing="1" w:line="240" w:lineRule="auto"/>
              <w:rPr>
                <w:rFonts w:ascii="Arial Narrow" w:eastAsia="SimSun" w:hAnsi="Arial Narrow" w:cs="Times New Roman"/>
                <w:lang w:eastAsia="en-US"/>
              </w:rPr>
            </w:pPr>
            <w:r w:rsidRPr="0031382A">
              <w:rPr>
                <w:rFonts w:ascii="Arial Narrow" w:eastAsia="SimSun" w:hAnsi="Arial Narrow"/>
                <w:b/>
              </w:rPr>
              <w:t>15</w:t>
            </w:r>
            <w:r w:rsidR="00866656" w:rsidRPr="0031382A">
              <w:rPr>
                <w:rFonts w:ascii="Arial Narrow" w:eastAsia="SimSun" w:hAnsi="Arial Narrow"/>
                <w:b/>
              </w:rPr>
              <w:t>.</w:t>
            </w:r>
            <w:r w:rsidRPr="0031382A">
              <w:rPr>
                <w:rFonts w:ascii="Arial Narrow" w:eastAsia="SimSun" w:hAnsi="Arial Narrow"/>
              </w:rPr>
              <w:t xml:space="preserve"> </w:t>
            </w:r>
            <w:r w:rsidR="006F122C" w:rsidRPr="0031382A">
              <w:rPr>
                <w:rFonts w:ascii="Arial Narrow" w:eastAsia="SimSun" w:hAnsi="Arial Narrow"/>
              </w:rPr>
              <w:t>W</w:t>
            </w:r>
            <w:r w:rsidR="009A5931" w:rsidRPr="0031382A">
              <w:rPr>
                <w:rFonts w:ascii="Arial Narrow" w:eastAsia="SimSun" w:hAnsi="Arial Narrow"/>
              </w:rPr>
              <w:t>hat happens if an out-of-district club pledges $1,000 to the project organizer and sends a $1,000 check to TRF as global grant support, but fails to include the $50 for grant processing?</w:t>
            </w:r>
          </w:p>
          <w:p w:rsidR="0024277C" w:rsidRPr="00CB7521" w:rsidRDefault="0024277C" w:rsidP="00E4231B">
            <w:pPr>
              <w:spacing w:before="100" w:beforeAutospacing="1" w:after="100" w:afterAutospacing="1" w:line="240" w:lineRule="auto"/>
              <w:rPr>
                <w:rFonts w:ascii="Arial Narrow" w:hAnsi="Arial Narrow"/>
                <w:lang w:eastAsia="en-US"/>
              </w:rPr>
            </w:pPr>
          </w:p>
        </w:tc>
        <w:tc>
          <w:tcPr>
            <w:tcW w:w="8554" w:type="dxa"/>
            <w:vAlign w:val="center"/>
          </w:tcPr>
          <w:p w:rsidR="0012690C" w:rsidRPr="00CB7521" w:rsidRDefault="007E3EC6" w:rsidP="00D76B97">
            <w:pPr>
              <w:pStyle w:val="BodyParagraph"/>
            </w:pPr>
            <w:r w:rsidRPr="0031382A">
              <w:t>The grant sponsor is r</w:t>
            </w:r>
            <w:r w:rsidR="009A5931" w:rsidRPr="0031382A">
              <w:t>esponsible for</w:t>
            </w:r>
            <w:r w:rsidR="00AE54DE">
              <w:t xml:space="preserve"> ensuring that the additional</w:t>
            </w:r>
            <w:r w:rsidR="009A5931" w:rsidRPr="0031382A">
              <w:t xml:space="preserve"> </w:t>
            </w:r>
            <w:r w:rsidR="00DA4177" w:rsidRPr="0031382A">
              <w:t xml:space="preserve">5% </w:t>
            </w:r>
            <w:r w:rsidR="00AE54DE">
              <w:t>contribution is paid to TRF</w:t>
            </w:r>
            <w:r w:rsidR="00D76B97">
              <w:t>.</w:t>
            </w:r>
            <w:r w:rsidR="00DA4177" w:rsidRPr="0031382A">
              <w:t xml:space="preserve"> </w:t>
            </w:r>
            <w:r w:rsidR="00AE54DE">
              <w:t xml:space="preserve">The grant sponsor may ask the club or district to add an additional 5% or may ask another club or district to make up the difference.  </w:t>
            </w:r>
            <w:r w:rsidR="00DA4177" w:rsidRPr="0031382A">
              <w:t xml:space="preserve">TRF will contact the grant sponsor to </w:t>
            </w:r>
            <w:r w:rsidR="005878F9" w:rsidRPr="0031382A">
              <w:t xml:space="preserve">advise </w:t>
            </w:r>
            <w:r w:rsidR="00AE54DE">
              <w:t>what remaining cash is needed to fully fund the grant.</w:t>
            </w:r>
            <w:r w:rsidR="00DA4177" w:rsidRPr="0031382A">
              <w:t xml:space="preserve"> The grant will not be considered fully funded until all the cash, including the 5%, is received.</w:t>
            </w:r>
          </w:p>
        </w:tc>
      </w:tr>
      <w:tr w:rsidR="00C40DF4" w:rsidRPr="0031382A" w:rsidTr="00D126E0">
        <w:trPr>
          <w:trHeight w:val="496"/>
        </w:trPr>
        <w:tc>
          <w:tcPr>
            <w:tcW w:w="5418" w:type="dxa"/>
            <w:vAlign w:val="center"/>
          </w:tcPr>
          <w:p w:rsidR="00C40DF4" w:rsidRPr="00CB7521" w:rsidRDefault="00C40DF4" w:rsidP="0060244F">
            <w:pPr>
              <w:spacing w:before="100" w:beforeAutospacing="1" w:after="100" w:afterAutospacing="1" w:line="240" w:lineRule="auto"/>
              <w:rPr>
                <w:rFonts w:ascii="Arial Narrow" w:eastAsia="SimSun" w:hAnsi="Arial Narrow"/>
              </w:rPr>
            </w:pPr>
            <w:r w:rsidRPr="008E6BB5">
              <w:rPr>
                <w:rFonts w:ascii="Arial Narrow" w:eastAsia="SimSun" w:hAnsi="Arial Narrow"/>
                <w:b/>
              </w:rPr>
              <w:t>16</w:t>
            </w:r>
            <w:r w:rsidR="00866656" w:rsidRPr="008E6BB5">
              <w:rPr>
                <w:rFonts w:ascii="Arial Narrow" w:eastAsia="SimSun" w:hAnsi="Arial Narrow"/>
                <w:b/>
              </w:rPr>
              <w:t>.</w:t>
            </w:r>
            <w:r w:rsidRPr="0031382A">
              <w:rPr>
                <w:rFonts w:ascii="Arial Narrow" w:eastAsia="SimSun" w:hAnsi="Arial Narrow"/>
              </w:rPr>
              <w:t xml:space="preserve"> Our district is considering matching $10,000 in cash raised by clubs </w:t>
            </w:r>
            <w:r w:rsidRPr="00CB7521">
              <w:rPr>
                <w:rFonts w:ascii="Arial Narrow" w:eastAsia="SimSun" w:hAnsi="Arial Narrow"/>
                <w:i/>
              </w:rPr>
              <w:t>and the 5% for processing</w:t>
            </w:r>
            <w:r w:rsidRPr="0031382A">
              <w:rPr>
                <w:rFonts w:ascii="Arial Narrow" w:eastAsia="SimSun" w:hAnsi="Arial Narrow"/>
              </w:rPr>
              <w:t xml:space="preserve">, or $500, for a total of $10,500. </w:t>
            </w:r>
            <w:r w:rsidR="003F7AA2" w:rsidRPr="0031382A">
              <w:rPr>
                <w:rFonts w:ascii="Arial Narrow" w:eastAsia="SimSun" w:hAnsi="Arial Narrow"/>
              </w:rPr>
              <w:t xml:space="preserve">If the </w:t>
            </w:r>
            <w:r w:rsidR="00C9429C" w:rsidRPr="0031382A">
              <w:rPr>
                <w:rFonts w:ascii="Arial Narrow" w:eastAsia="SimSun" w:hAnsi="Arial Narrow"/>
              </w:rPr>
              <w:t>district</w:t>
            </w:r>
            <w:r w:rsidR="003F7AA2" w:rsidRPr="0031382A">
              <w:rPr>
                <w:rFonts w:ascii="Arial Narrow" w:eastAsia="SimSun" w:hAnsi="Arial Narrow"/>
              </w:rPr>
              <w:t xml:space="preserve"> releases $10,500 of DDF, causing a World Fund match of $10,500, wouldn’t that increase the project budget by $1,000?</w:t>
            </w:r>
          </w:p>
        </w:tc>
        <w:tc>
          <w:tcPr>
            <w:tcW w:w="8554" w:type="dxa"/>
            <w:vAlign w:val="center"/>
          </w:tcPr>
          <w:p w:rsidR="00CB2F1E" w:rsidRPr="00CB7521" w:rsidRDefault="00CB2F1E" w:rsidP="00CB2F1E">
            <w:pPr>
              <w:pStyle w:val="BodyParagraph"/>
            </w:pPr>
            <w:r w:rsidRPr="0031382A">
              <w:t>Yes, in that case, the project budget would be $10,500 cash + $10,500 DDF +$10,500 World Fund match for DDF = $31,500 - $500 for processing grant cash, or $31,000.</w:t>
            </w:r>
          </w:p>
          <w:p w:rsidR="00C40DF4" w:rsidRDefault="00E45189" w:rsidP="00F448AF">
            <w:pPr>
              <w:pStyle w:val="BodyParagraph"/>
            </w:pPr>
            <w:r w:rsidRPr="0031382A">
              <w:t xml:space="preserve">However, the project budget would benefit significantly if the district contributed the full amount, $20,000, in DDF. No cash contribution would be involved, so </w:t>
            </w:r>
            <w:r w:rsidR="00F448AF" w:rsidRPr="0031382A">
              <w:t>the 5%</w:t>
            </w:r>
            <w:r w:rsidRPr="0031382A">
              <w:t xml:space="preserve"> supplemental amount would </w:t>
            </w:r>
            <w:r w:rsidR="00F448AF" w:rsidRPr="0031382A">
              <w:t xml:space="preserve">not </w:t>
            </w:r>
            <w:r w:rsidRPr="0031382A">
              <w:t xml:space="preserve">be required for processing cash. In this case, the </w:t>
            </w:r>
            <w:r w:rsidR="00F448AF" w:rsidRPr="0031382A">
              <w:t xml:space="preserve">project budget would be </w:t>
            </w:r>
            <w:r w:rsidRPr="0031382A">
              <w:t>$20,000</w:t>
            </w:r>
            <w:r w:rsidR="00F448AF" w:rsidRPr="0031382A">
              <w:t xml:space="preserve"> DDF + $20,000 World Fund match,</w:t>
            </w:r>
            <w:r w:rsidRPr="0031382A">
              <w:t xml:space="preserve"> for a total of $40,000.</w:t>
            </w:r>
          </w:p>
          <w:p w:rsidR="00181B8B" w:rsidRPr="00CB7521" w:rsidRDefault="00181B8B" w:rsidP="00F448AF">
            <w:pPr>
              <w:pStyle w:val="BodyParagraph"/>
            </w:pPr>
            <w:r>
              <w:t>Alternatively, districts may prefer to release DDF for a project in exchange for a club making a contribution to the Annual Fund, thereby avoiding the 5% additional contribution entirely.</w:t>
            </w:r>
          </w:p>
        </w:tc>
      </w:tr>
      <w:tr w:rsidR="00B022E0" w:rsidRPr="0031382A" w:rsidTr="00D126E0">
        <w:trPr>
          <w:trHeight w:val="496"/>
        </w:trPr>
        <w:tc>
          <w:tcPr>
            <w:tcW w:w="5418" w:type="dxa"/>
            <w:vAlign w:val="center"/>
          </w:tcPr>
          <w:p w:rsidR="006A3058" w:rsidRPr="0031382A" w:rsidRDefault="006A3058" w:rsidP="00E4231B">
            <w:pPr>
              <w:spacing w:after="0" w:line="240" w:lineRule="auto"/>
              <w:rPr>
                <w:rFonts w:ascii="Arial Narrow" w:eastAsia="SimSun" w:hAnsi="Arial Narrow" w:cs="Calibri"/>
                <w:lang w:eastAsia="en-US"/>
              </w:rPr>
            </w:pPr>
          </w:p>
          <w:p w:rsidR="00B022E0" w:rsidRPr="0031382A" w:rsidRDefault="00E34838" w:rsidP="00E4231B">
            <w:pPr>
              <w:spacing w:after="0" w:line="240" w:lineRule="auto"/>
              <w:rPr>
                <w:rFonts w:ascii="Arial Narrow" w:eastAsia="SimSun" w:hAnsi="Arial Narrow" w:cs="Calibri"/>
                <w:lang w:eastAsia="en-US"/>
              </w:rPr>
            </w:pPr>
            <w:r w:rsidRPr="0031382A">
              <w:rPr>
                <w:rFonts w:ascii="Arial Narrow" w:eastAsia="SimSun" w:hAnsi="Arial Narrow" w:cs="Calibri"/>
                <w:b/>
              </w:rPr>
              <w:t>17</w:t>
            </w:r>
            <w:r w:rsidR="00866656" w:rsidRPr="0031382A">
              <w:rPr>
                <w:rFonts w:ascii="Arial Narrow" w:eastAsia="SimSun" w:hAnsi="Arial Narrow" w:cs="Calibri"/>
                <w:b/>
              </w:rPr>
              <w:t>.</w:t>
            </w:r>
            <w:r w:rsidRPr="0031382A">
              <w:rPr>
                <w:rFonts w:ascii="Arial Narrow" w:eastAsia="SimSun" w:hAnsi="Arial Narrow" w:cs="Calibri"/>
              </w:rPr>
              <w:t xml:space="preserve"> </w:t>
            </w:r>
            <w:r w:rsidR="005370DC" w:rsidRPr="0031382A">
              <w:rPr>
                <w:rFonts w:ascii="Arial Narrow" w:eastAsia="SimSun" w:hAnsi="Arial Narrow" w:cs="Calibri"/>
              </w:rPr>
              <w:t>After a g</w:t>
            </w:r>
            <w:r w:rsidR="00B022E0" w:rsidRPr="0031382A">
              <w:rPr>
                <w:rFonts w:ascii="Arial Narrow" w:eastAsia="SimSun" w:hAnsi="Arial Narrow" w:cs="Calibri"/>
              </w:rPr>
              <w:t xml:space="preserve">lobal </w:t>
            </w:r>
            <w:r w:rsidR="005370DC" w:rsidRPr="0031382A">
              <w:rPr>
                <w:rFonts w:ascii="Arial Narrow" w:eastAsia="SimSun" w:hAnsi="Arial Narrow" w:cs="Calibri"/>
              </w:rPr>
              <w:t>g</w:t>
            </w:r>
            <w:r w:rsidR="00B022E0" w:rsidRPr="0031382A">
              <w:rPr>
                <w:rFonts w:ascii="Arial Narrow" w:eastAsia="SimSun" w:hAnsi="Arial Narrow" w:cs="Calibri"/>
              </w:rPr>
              <w:t>rant project is approved,</w:t>
            </w:r>
            <w:r w:rsidR="005370DC" w:rsidRPr="0031382A">
              <w:rPr>
                <w:rFonts w:ascii="Arial Narrow" w:eastAsia="SimSun" w:hAnsi="Arial Narrow" w:cs="Calibri"/>
              </w:rPr>
              <w:t xml:space="preserve"> if</w:t>
            </w:r>
            <w:r w:rsidR="00B022E0" w:rsidRPr="0031382A">
              <w:rPr>
                <w:rFonts w:ascii="Arial Narrow" w:eastAsia="SimSun" w:hAnsi="Arial Narrow" w:cs="Calibri"/>
              </w:rPr>
              <w:t xml:space="preserve"> I establish a </w:t>
            </w:r>
            <w:r w:rsidR="005370DC" w:rsidRPr="0031382A">
              <w:rPr>
                <w:rFonts w:ascii="Arial Narrow" w:eastAsia="SimSun" w:hAnsi="Arial Narrow" w:cs="Calibri"/>
              </w:rPr>
              <w:t xml:space="preserve">project </w:t>
            </w:r>
            <w:r w:rsidR="00B022E0" w:rsidRPr="0031382A">
              <w:rPr>
                <w:rFonts w:ascii="Arial Narrow" w:eastAsia="SimSun" w:hAnsi="Arial Narrow" w:cs="Calibri"/>
              </w:rPr>
              <w:t xml:space="preserve">bank account </w:t>
            </w:r>
            <w:r w:rsidR="005370DC" w:rsidRPr="0031382A">
              <w:rPr>
                <w:rFonts w:ascii="Arial Narrow" w:eastAsia="SimSun" w:hAnsi="Arial Narrow" w:cs="Calibri"/>
              </w:rPr>
              <w:t>for deposit of cash contributions instead of sending the</w:t>
            </w:r>
            <w:r w:rsidR="00B022E0" w:rsidRPr="0031382A">
              <w:rPr>
                <w:rFonts w:ascii="Arial Narrow" w:eastAsia="SimSun" w:hAnsi="Arial Narrow" w:cs="Calibri"/>
              </w:rPr>
              <w:t xml:space="preserve"> contributions</w:t>
            </w:r>
            <w:r w:rsidR="005370DC" w:rsidRPr="0031382A">
              <w:rPr>
                <w:rFonts w:ascii="Arial Narrow" w:eastAsia="SimSun" w:hAnsi="Arial Narrow" w:cs="Calibri"/>
              </w:rPr>
              <w:t xml:space="preserve"> to TRF</w:t>
            </w:r>
            <w:r w:rsidR="008D7E09" w:rsidRPr="0031382A">
              <w:rPr>
                <w:rFonts w:ascii="Arial Narrow" w:eastAsia="SimSun" w:hAnsi="Arial Narrow" w:cs="Calibri"/>
              </w:rPr>
              <w:t>, w</w:t>
            </w:r>
            <w:r w:rsidR="00B022E0" w:rsidRPr="0031382A">
              <w:rPr>
                <w:rFonts w:ascii="Arial Narrow" w:eastAsia="SimSun" w:hAnsi="Arial Narrow" w:cs="Calibri"/>
              </w:rPr>
              <w:t>ill 100% of the contributions</w:t>
            </w:r>
            <w:r w:rsidR="008D7E09" w:rsidRPr="0031382A">
              <w:rPr>
                <w:rFonts w:ascii="Arial Narrow" w:eastAsia="SimSun" w:hAnsi="Arial Narrow" w:cs="Calibri"/>
              </w:rPr>
              <w:t xml:space="preserve"> need to be</w:t>
            </w:r>
            <w:r w:rsidR="00B022E0" w:rsidRPr="0031382A">
              <w:rPr>
                <w:rFonts w:ascii="Arial Narrow" w:eastAsia="SimSun" w:hAnsi="Arial Narrow" w:cs="Calibri"/>
              </w:rPr>
              <w:t xml:space="preserve"> in the account before TRF releases the 50% </w:t>
            </w:r>
            <w:r w:rsidR="008D7E09" w:rsidRPr="0031382A">
              <w:rPr>
                <w:rFonts w:ascii="Arial Narrow" w:eastAsia="SimSun" w:hAnsi="Arial Narrow" w:cs="Calibri"/>
              </w:rPr>
              <w:t>m</w:t>
            </w:r>
            <w:r w:rsidR="00B022E0" w:rsidRPr="0031382A">
              <w:rPr>
                <w:rFonts w:ascii="Arial Narrow" w:eastAsia="SimSun" w:hAnsi="Arial Narrow" w:cs="Calibri"/>
              </w:rPr>
              <w:t>atch for these funds?</w:t>
            </w:r>
          </w:p>
          <w:p w:rsidR="00B022E0" w:rsidRPr="0031382A" w:rsidRDefault="00B022E0" w:rsidP="00E4231B">
            <w:pPr>
              <w:spacing w:after="0" w:line="240" w:lineRule="auto"/>
              <w:rPr>
                <w:rFonts w:ascii="Arial Narrow" w:eastAsia="SimSun" w:hAnsi="Arial Narrow" w:cs="Calibri"/>
                <w:lang w:eastAsia="en-US"/>
              </w:rPr>
            </w:pPr>
          </w:p>
          <w:p w:rsidR="00B022E0" w:rsidRPr="0031382A" w:rsidRDefault="00B022E0" w:rsidP="00E4231B">
            <w:pPr>
              <w:spacing w:after="0" w:line="240" w:lineRule="auto"/>
              <w:rPr>
                <w:rFonts w:ascii="Arial Narrow" w:eastAsia="SimSun" w:hAnsi="Arial Narrow" w:cs="Calibri"/>
                <w:lang w:eastAsia="en-US"/>
              </w:rPr>
            </w:pPr>
            <w:r w:rsidRPr="0031382A">
              <w:rPr>
                <w:rFonts w:ascii="Arial Narrow" w:eastAsia="SimSun" w:hAnsi="Arial Narrow" w:cs="Calibri"/>
              </w:rPr>
              <w:t>If, in addition to these cash contributions, part of my total contribution is DDF, will</w:t>
            </w:r>
            <w:r w:rsidR="006A3058" w:rsidRPr="0031382A">
              <w:rPr>
                <w:rFonts w:ascii="Arial Narrow" w:eastAsia="SimSun" w:hAnsi="Arial Narrow" w:cs="Calibri"/>
              </w:rPr>
              <w:t xml:space="preserve"> TRF</w:t>
            </w:r>
            <w:r w:rsidRPr="0031382A">
              <w:rPr>
                <w:rFonts w:ascii="Arial Narrow" w:eastAsia="SimSun" w:hAnsi="Arial Narrow" w:cs="Calibri"/>
              </w:rPr>
              <w:t xml:space="preserve"> release a partial match for the DDF component pending the accumulation of the cash cont</w:t>
            </w:r>
            <w:r w:rsidR="006A3058" w:rsidRPr="0031382A">
              <w:rPr>
                <w:rFonts w:ascii="Arial Narrow" w:eastAsia="SimSun" w:hAnsi="Arial Narrow" w:cs="Calibri"/>
              </w:rPr>
              <w:t>ributions in the bank account? </w:t>
            </w:r>
            <w:r w:rsidRPr="0031382A">
              <w:rPr>
                <w:rFonts w:ascii="Arial Narrow" w:eastAsia="SimSun" w:hAnsi="Arial Narrow" w:cs="Calibri"/>
              </w:rPr>
              <w:t>Or w</w:t>
            </w:r>
            <w:r w:rsidR="006A3058" w:rsidRPr="0031382A">
              <w:rPr>
                <w:rFonts w:ascii="Arial Narrow" w:eastAsia="SimSun" w:hAnsi="Arial Narrow" w:cs="Calibri"/>
              </w:rPr>
              <w:t xml:space="preserve">ill the match only be released </w:t>
            </w:r>
            <w:r w:rsidRPr="0031382A">
              <w:rPr>
                <w:rFonts w:ascii="Arial Narrow" w:eastAsia="SimSun" w:hAnsi="Arial Narrow" w:cs="Calibri"/>
              </w:rPr>
              <w:t>after all the cash is accumulated?</w:t>
            </w:r>
          </w:p>
          <w:p w:rsidR="00B022E0" w:rsidRPr="0031382A" w:rsidRDefault="00B022E0" w:rsidP="00E4231B">
            <w:pPr>
              <w:spacing w:after="0" w:line="240" w:lineRule="auto"/>
              <w:rPr>
                <w:rFonts w:ascii="Arial Narrow" w:eastAsia="SimSun" w:hAnsi="Arial Narrow" w:cs="Calibri"/>
                <w:lang w:eastAsia="en-US"/>
              </w:rPr>
            </w:pPr>
          </w:p>
          <w:p w:rsidR="00B022E0" w:rsidRPr="0031382A" w:rsidRDefault="00B022E0" w:rsidP="00E4231B">
            <w:pPr>
              <w:spacing w:after="0" w:line="240" w:lineRule="auto"/>
              <w:rPr>
                <w:rFonts w:ascii="Arial Narrow" w:eastAsia="SimSun" w:hAnsi="Arial Narrow" w:cs="Calibri"/>
                <w:lang w:eastAsia="en-US"/>
              </w:rPr>
            </w:pPr>
            <w:r w:rsidRPr="0031382A">
              <w:rPr>
                <w:rFonts w:ascii="Arial Narrow" w:eastAsia="SimSun" w:hAnsi="Arial Narrow" w:cs="Calibri"/>
              </w:rPr>
              <w:t>Since all the cash contributions will be evidenced on the bank statement, can any of it be spent on authorized project expenses before the match is received?</w:t>
            </w:r>
          </w:p>
          <w:p w:rsidR="00B022E0" w:rsidRPr="00CB7521" w:rsidRDefault="00B022E0">
            <w:pPr>
              <w:spacing w:before="100" w:beforeAutospacing="1" w:after="100" w:afterAutospacing="1"/>
              <w:rPr>
                <w:rFonts w:ascii="Arial Narrow" w:eastAsia="SimSun" w:hAnsi="Arial Narrow"/>
              </w:rPr>
            </w:pPr>
          </w:p>
        </w:tc>
        <w:tc>
          <w:tcPr>
            <w:tcW w:w="8554" w:type="dxa"/>
            <w:vAlign w:val="center"/>
          </w:tcPr>
          <w:p w:rsidR="006A3058" w:rsidRPr="00CB7521" w:rsidRDefault="005370DC" w:rsidP="005370DC">
            <w:pPr>
              <w:spacing w:after="200"/>
              <w:rPr>
                <w:rFonts w:ascii="Arial Narrow" w:eastAsia="Calibri" w:hAnsi="Arial Narrow"/>
              </w:rPr>
            </w:pPr>
            <w:r w:rsidRPr="0031382A">
              <w:rPr>
                <w:rFonts w:ascii="Arial Narrow" w:eastAsia="Calibri" w:hAnsi="Arial Narrow"/>
              </w:rPr>
              <w:t>Yes, 100% of the cash contributions will need to be in the project bank account bef</w:t>
            </w:r>
            <w:r w:rsidR="006A3058" w:rsidRPr="0031382A">
              <w:rPr>
                <w:rFonts w:ascii="Arial Narrow" w:eastAsia="Calibri" w:hAnsi="Arial Narrow"/>
              </w:rPr>
              <w:t>ore TRF releases the 50% match</w:t>
            </w:r>
            <w:r w:rsidR="00660AE1" w:rsidRPr="0031382A">
              <w:rPr>
                <w:rFonts w:ascii="Arial Narrow" w:eastAsia="Calibri" w:hAnsi="Arial Narrow"/>
              </w:rPr>
              <w:t xml:space="preserve"> from the World Fund</w:t>
            </w:r>
            <w:r w:rsidR="006A3058" w:rsidRPr="0031382A">
              <w:rPr>
                <w:rFonts w:ascii="Arial Narrow" w:eastAsia="Calibri" w:hAnsi="Arial Narrow"/>
              </w:rPr>
              <w:t>.</w:t>
            </w:r>
          </w:p>
          <w:p w:rsidR="006A3058" w:rsidRPr="00CB7521" w:rsidRDefault="006A3058" w:rsidP="005370DC">
            <w:pPr>
              <w:spacing w:after="200"/>
              <w:rPr>
                <w:rFonts w:ascii="Arial Narrow" w:eastAsia="Calibri" w:hAnsi="Arial Narrow"/>
              </w:rPr>
            </w:pPr>
          </w:p>
          <w:p w:rsidR="006A3058" w:rsidRPr="00CB7521" w:rsidRDefault="006A3058" w:rsidP="005370DC">
            <w:pPr>
              <w:spacing w:after="200"/>
              <w:rPr>
                <w:rFonts w:ascii="Arial Narrow" w:eastAsia="Calibri" w:hAnsi="Arial Narrow"/>
              </w:rPr>
            </w:pPr>
          </w:p>
          <w:p w:rsidR="006A3058" w:rsidRPr="0031382A" w:rsidRDefault="00B46CBE" w:rsidP="005370DC">
            <w:pPr>
              <w:spacing w:after="200"/>
              <w:rPr>
                <w:rFonts w:ascii="Arial Narrow" w:eastAsia="Calibri" w:hAnsi="Arial Narrow"/>
              </w:rPr>
            </w:pPr>
            <w:r w:rsidRPr="0031382A">
              <w:rPr>
                <w:rFonts w:ascii="Arial Narrow" w:eastAsia="Calibri" w:hAnsi="Arial Narrow"/>
              </w:rPr>
              <w:t>The</w:t>
            </w:r>
            <w:r w:rsidR="005370DC" w:rsidRPr="0031382A">
              <w:rPr>
                <w:rFonts w:ascii="Arial Narrow" w:eastAsia="Calibri" w:hAnsi="Arial Narrow"/>
              </w:rPr>
              <w:t xml:space="preserve"> 100% match of the DDF portion of grant contributions will only be released once the </w:t>
            </w:r>
            <w:r w:rsidR="007937A5" w:rsidRPr="0031382A">
              <w:rPr>
                <w:rFonts w:ascii="Arial Narrow" w:eastAsia="Calibri" w:hAnsi="Arial Narrow"/>
              </w:rPr>
              <w:t>grant is fully funded.</w:t>
            </w:r>
          </w:p>
          <w:p w:rsidR="006A3058" w:rsidRPr="00CB7521" w:rsidRDefault="006A3058" w:rsidP="005370DC">
            <w:pPr>
              <w:spacing w:after="200"/>
              <w:rPr>
                <w:rFonts w:ascii="Arial Narrow" w:eastAsia="Calibri" w:hAnsi="Arial Narrow"/>
              </w:rPr>
            </w:pPr>
          </w:p>
          <w:p w:rsidR="006A3058" w:rsidRPr="00CB7521" w:rsidRDefault="006A3058" w:rsidP="005370DC">
            <w:pPr>
              <w:spacing w:after="200"/>
              <w:rPr>
                <w:rFonts w:ascii="Arial Narrow" w:eastAsia="Calibri" w:hAnsi="Arial Narrow"/>
              </w:rPr>
            </w:pPr>
          </w:p>
          <w:p w:rsidR="005370DC" w:rsidRPr="00CB7521" w:rsidRDefault="00831D84" w:rsidP="005370DC">
            <w:pPr>
              <w:spacing w:after="200"/>
              <w:rPr>
                <w:rFonts w:ascii="Arial Narrow" w:eastAsia="Calibri" w:hAnsi="Arial Narrow"/>
              </w:rPr>
            </w:pPr>
            <w:r w:rsidRPr="0031382A">
              <w:rPr>
                <w:rFonts w:ascii="Arial Narrow" w:eastAsia="Calibri" w:hAnsi="Arial Narrow"/>
              </w:rPr>
              <w:t>If the grant has been approved, c</w:t>
            </w:r>
            <w:r w:rsidR="005370DC" w:rsidRPr="0031382A">
              <w:rPr>
                <w:rFonts w:ascii="Arial Narrow" w:eastAsia="Calibri" w:hAnsi="Arial Narrow"/>
              </w:rPr>
              <w:t>ash contributions can be spent on authorized project expenses before the match is received.</w:t>
            </w:r>
          </w:p>
          <w:p w:rsidR="00B022E0" w:rsidRPr="00CB7521" w:rsidRDefault="00B022E0" w:rsidP="00A55771">
            <w:pPr>
              <w:pStyle w:val="BodyParagraph"/>
            </w:pPr>
          </w:p>
        </w:tc>
      </w:tr>
      <w:tr w:rsidR="0012690C" w:rsidRPr="0031382A" w:rsidTr="00D126E0">
        <w:trPr>
          <w:trHeight w:val="496"/>
        </w:trPr>
        <w:tc>
          <w:tcPr>
            <w:tcW w:w="5418" w:type="dxa"/>
            <w:vAlign w:val="center"/>
          </w:tcPr>
          <w:p w:rsidR="0012690C" w:rsidRPr="00CB7521" w:rsidRDefault="00E34838" w:rsidP="000B5FC6">
            <w:pPr>
              <w:pStyle w:val="BodyParagraph"/>
            </w:pPr>
            <w:r w:rsidRPr="0031382A">
              <w:rPr>
                <w:b/>
              </w:rPr>
              <w:t>1</w:t>
            </w:r>
            <w:r w:rsidR="009C4988" w:rsidRPr="0031382A">
              <w:rPr>
                <w:b/>
              </w:rPr>
              <w:t>8</w:t>
            </w:r>
            <w:r w:rsidR="00866656" w:rsidRPr="0031382A">
              <w:rPr>
                <w:b/>
              </w:rPr>
              <w:t>.</w:t>
            </w:r>
            <w:r w:rsidRPr="0031382A">
              <w:t xml:space="preserve"> </w:t>
            </w:r>
            <w:r w:rsidR="0012690C" w:rsidRPr="0031382A">
              <w:t>Where can we find the new grant application</w:t>
            </w:r>
            <w:r w:rsidR="00320735">
              <w:t>?</w:t>
            </w:r>
          </w:p>
        </w:tc>
        <w:tc>
          <w:tcPr>
            <w:tcW w:w="8554" w:type="dxa"/>
            <w:vAlign w:val="center"/>
          </w:tcPr>
          <w:p w:rsidR="0012690C" w:rsidRPr="00CB7521" w:rsidRDefault="0012690C" w:rsidP="00E10076">
            <w:pPr>
              <w:pStyle w:val="BodyParagraph"/>
            </w:pPr>
            <w:r w:rsidRPr="0031382A">
              <w:t xml:space="preserve">The new </w:t>
            </w:r>
            <w:r w:rsidR="00E10076">
              <w:t xml:space="preserve">online application </w:t>
            </w:r>
            <w:r w:rsidRPr="0031382A">
              <w:t xml:space="preserve">will be available </w:t>
            </w:r>
            <w:r w:rsidR="00E10076">
              <w:t xml:space="preserve">in SmartSimple </w:t>
            </w:r>
            <w:r w:rsidRPr="0031382A">
              <w:t xml:space="preserve">on rotary.org </w:t>
            </w:r>
            <w:r w:rsidR="00AE54DE">
              <w:t xml:space="preserve">on </w:t>
            </w:r>
            <w:r w:rsidR="00E10076">
              <w:t xml:space="preserve">1 </w:t>
            </w:r>
            <w:r w:rsidR="00AE54DE">
              <w:t>July 2015.</w:t>
            </w:r>
          </w:p>
        </w:tc>
      </w:tr>
      <w:tr w:rsidR="0013713B" w:rsidRPr="0031382A" w:rsidTr="00D126E0">
        <w:trPr>
          <w:trHeight w:val="496"/>
        </w:trPr>
        <w:tc>
          <w:tcPr>
            <w:tcW w:w="5418" w:type="dxa"/>
            <w:vAlign w:val="center"/>
          </w:tcPr>
          <w:p w:rsidR="003155A4" w:rsidRPr="0031382A" w:rsidRDefault="003155A4" w:rsidP="00E4231B">
            <w:pPr>
              <w:spacing w:after="0" w:line="240" w:lineRule="auto"/>
              <w:rPr>
                <w:rFonts w:ascii="Arial Narrow" w:eastAsia="SimSun" w:hAnsi="Arial Narrow" w:cs="Arial"/>
                <w:lang w:eastAsia="en-US"/>
              </w:rPr>
            </w:pPr>
          </w:p>
          <w:p w:rsidR="00DF3EC1" w:rsidRDefault="00DF3EC1" w:rsidP="00E4231B">
            <w:pPr>
              <w:spacing w:after="0" w:line="240" w:lineRule="auto"/>
              <w:rPr>
                <w:rFonts w:ascii="Arial Narrow" w:eastAsia="SimSun" w:hAnsi="Arial Narrow" w:cs="Arial"/>
                <w:b/>
              </w:rPr>
            </w:pPr>
          </w:p>
          <w:p w:rsidR="0013713B" w:rsidRPr="0031382A" w:rsidRDefault="004419AF" w:rsidP="00E4231B">
            <w:pPr>
              <w:spacing w:after="0" w:line="240" w:lineRule="auto"/>
              <w:rPr>
                <w:rFonts w:ascii="Arial Narrow" w:eastAsia="SimSun" w:hAnsi="Arial Narrow" w:cs="Calibri"/>
                <w:lang w:eastAsia="en-US"/>
              </w:rPr>
            </w:pPr>
            <w:r>
              <w:rPr>
                <w:rFonts w:ascii="Arial Narrow" w:eastAsia="SimSun" w:hAnsi="Arial Narrow" w:cs="Arial"/>
                <w:b/>
              </w:rPr>
              <w:t>19</w:t>
            </w:r>
            <w:r w:rsidR="00866656" w:rsidRPr="0031382A">
              <w:rPr>
                <w:rFonts w:ascii="Arial Narrow" w:eastAsia="SimSun" w:hAnsi="Arial Narrow" w:cs="Arial"/>
                <w:b/>
              </w:rPr>
              <w:t>.</w:t>
            </w:r>
            <w:r w:rsidR="006D4AA6" w:rsidRPr="0031382A">
              <w:rPr>
                <w:rFonts w:ascii="Arial Narrow" w:eastAsia="SimSun" w:hAnsi="Arial Narrow" w:cs="Arial"/>
              </w:rPr>
              <w:t xml:space="preserve"> </w:t>
            </w:r>
            <w:r w:rsidR="0013713B" w:rsidRPr="0031382A">
              <w:rPr>
                <w:rFonts w:ascii="Arial Narrow" w:eastAsia="SimSun" w:hAnsi="Arial Narrow" w:cs="Arial"/>
              </w:rPr>
              <w:t xml:space="preserve">Will the new application form have a place in the financing section to enter an amount that goes directly to the project bank account but is counted in the total financing and budget amounts? Will there be a mechanism for TRF to know that this deposit has actually been made and available for funding? </w:t>
            </w:r>
            <w:r w:rsidR="002D2910" w:rsidRPr="0031382A">
              <w:rPr>
                <w:rFonts w:ascii="Arial Narrow" w:eastAsia="SimSun" w:hAnsi="Arial Narrow" w:cs="Arial"/>
              </w:rPr>
              <w:t>Will</w:t>
            </w:r>
            <w:r w:rsidR="0013713B" w:rsidRPr="0031382A">
              <w:rPr>
                <w:rFonts w:ascii="Arial Narrow" w:eastAsia="SimSun" w:hAnsi="Arial Narrow" w:cs="Arial"/>
              </w:rPr>
              <w:t xml:space="preserve"> cash </w:t>
            </w:r>
            <w:r w:rsidR="002D2910" w:rsidRPr="0031382A">
              <w:rPr>
                <w:rFonts w:ascii="Arial Narrow" w:eastAsia="SimSun" w:hAnsi="Arial Narrow" w:cs="Arial"/>
              </w:rPr>
              <w:t xml:space="preserve">that is </w:t>
            </w:r>
            <w:r w:rsidR="0013713B" w:rsidRPr="0031382A">
              <w:rPr>
                <w:rFonts w:ascii="Arial Narrow" w:eastAsia="SimSun" w:hAnsi="Arial Narrow" w:cs="Arial"/>
              </w:rPr>
              <w:t xml:space="preserve">sent directly to the project bank account still </w:t>
            </w:r>
            <w:r w:rsidR="002D2910" w:rsidRPr="0031382A">
              <w:rPr>
                <w:rFonts w:ascii="Arial Narrow" w:eastAsia="SimSun" w:hAnsi="Arial Narrow" w:cs="Arial"/>
              </w:rPr>
              <w:t xml:space="preserve">be </w:t>
            </w:r>
            <w:r w:rsidR="0013713B" w:rsidRPr="0031382A">
              <w:rPr>
                <w:rFonts w:ascii="Arial Narrow" w:eastAsia="SimSun" w:hAnsi="Arial Narrow" w:cs="Arial"/>
              </w:rPr>
              <w:t>eligible for the match from the TRF World Fund?</w:t>
            </w:r>
          </w:p>
          <w:p w:rsidR="0013713B" w:rsidRPr="00CB7521" w:rsidRDefault="0013713B" w:rsidP="00A55771">
            <w:pPr>
              <w:pStyle w:val="BodyParagraph"/>
            </w:pPr>
          </w:p>
        </w:tc>
        <w:tc>
          <w:tcPr>
            <w:tcW w:w="8554" w:type="dxa"/>
            <w:vAlign w:val="center"/>
          </w:tcPr>
          <w:p w:rsidR="0013713B" w:rsidRPr="00CB7521" w:rsidRDefault="00705B8A" w:rsidP="00A55771">
            <w:pPr>
              <w:pStyle w:val="BodyParagraph"/>
            </w:pPr>
            <w:r w:rsidRPr="0031382A">
              <w:t xml:space="preserve">Yes, the application will provide a place to identify cash contributions that are sent </w:t>
            </w:r>
            <w:r w:rsidR="00B022E0" w:rsidRPr="0031382A">
              <w:t>d</w:t>
            </w:r>
            <w:r w:rsidRPr="0031382A">
              <w:t>irectly to the project bank account while also indicating the total funding and budget for the global grant. However, it is up to the project sponsors to provide confirmation that contributions sent to the project bank account have been deposited, so TRF can record them as part of funding for the grant.</w:t>
            </w:r>
            <w:r w:rsidR="00D478B0" w:rsidRPr="0031382A">
              <w:t xml:space="preserve"> </w:t>
            </w:r>
            <w:r w:rsidR="001445D1">
              <w:t xml:space="preserve">Once that is done, TRF will remove the additional 5% indicated on the financing page. </w:t>
            </w:r>
            <w:r w:rsidRPr="0031382A">
              <w:t>Cash sent directly to the project account is eligible for the 50% World Fund match.</w:t>
            </w:r>
          </w:p>
        </w:tc>
      </w:tr>
      <w:tr w:rsidR="00FD0545" w:rsidRPr="0031382A" w:rsidTr="00D126E0">
        <w:trPr>
          <w:trHeight w:val="496"/>
        </w:trPr>
        <w:tc>
          <w:tcPr>
            <w:tcW w:w="5418" w:type="dxa"/>
            <w:vAlign w:val="center"/>
          </w:tcPr>
          <w:p w:rsidR="00FD0545" w:rsidRPr="0031382A" w:rsidRDefault="00FD0545" w:rsidP="00E4231B">
            <w:pPr>
              <w:spacing w:after="0" w:line="240" w:lineRule="auto"/>
              <w:rPr>
                <w:rFonts w:ascii="Arial Narrow" w:eastAsia="SimSun" w:hAnsi="Arial Narrow" w:cs="Calibri"/>
                <w:lang w:eastAsia="en-US"/>
              </w:rPr>
            </w:pPr>
          </w:p>
          <w:p w:rsidR="00FD0545" w:rsidRPr="0031382A" w:rsidRDefault="006D4AA6" w:rsidP="00E4231B">
            <w:pPr>
              <w:spacing w:after="0" w:line="240" w:lineRule="auto"/>
              <w:rPr>
                <w:rFonts w:ascii="Arial Narrow" w:eastAsia="SimSun" w:hAnsi="Arial Narrow" w:cs="Calibri"/>
                <w:lang w:eastAsia="en-US"/>
              </w:rPr>
            </w:pPr>
            <w:r w:rsidRPr="0031382A">
              <w:rPr>
                <w:rFonts w:ascii="Arial Narrow" w:eastAsia="SimSun" w:hAnsi="Arial Narrow" w:cs="Calibri"/>
                <w:b/>
              </w:rPr>
              <w:t>2</w:t>
            </w:r>
            <w:r w:rsidR="004419AF">
              <w:rPr>
                <w:rFonts w:ascii="Arial Narrow" w:eastAsia="SimSun" w:hAnsi="Arial Narrow" w:cs="Calibri"/>
                <w:b/>
              </w:rPr>
              <w:t>0</w:t>
            </w:r>
            <w:r w:rsidR="00866656" w:rsidRPr="0031382A">
              <w:rPr>
                <w:rFonts w:ascii="Arial Narrow" w:eastAsia="SimSun" w:hAnsi="Arial Narrow" w:cs="Calibri"/>
                <w:b/>
              </w:rPr>
              <w:t>.</w:t>
            </w:r>
            <w:r w:rsidRPr="0031382A">
              <w:rPr>
                <w:rFonts w:ascii="Arial Narrow" w:eastAsia="SimSun" w:hAnsi="Arial Narrow" w:cs="Calibri"/>
              </w:rPr>
              <w:t xml:space="preserve"> </w:t>
            </w:r>
            <w:r w:rsidR="00FD0545" w:rsidRPr="0031382A">
              <w:rPr>
                <w:rFonts w:ascii="Arial Narrow" w:eastAsia="SimSun" w:hAnsi="Arial Narrow" w:cs="Calibri"/>
              </w:rPr>
              <w:t xml:space="preserve">The budget on the grant application will create the 5% </w:t>
            </w:r>
            <w:r w:rsidR="00EE7952" w:rsidRPr="0031382A">
              <w:rPr>
                <w:rFonts w:ascii="Arial Narrow" w:eastAsia="SimSun" w:hAnsi="Arial Narrow" w:cs="Calibri"/>
              </w:rPr>
              <w:t xml:space="preserve">supplemental amount needed for processing cash. </w:t>
            </w:r>
            <w:r w:rsidR="002B1B91" w:rsidRPr="0031382A">
              <w:rPr>
                <w:rFonts w:ascii="Arial Narrow" w:eastAsia="SimSun" w:hAnsi="Arial Narrow" w:cs="Calibri"/>
              </w:rPr>
              <w:t>But how will cash go</w:t>
            </w:r>
            <w:r w:rsidR="00FD0545" w:rsidRPr="0031382A">
              <w:rPr>
                <w:rFonts w:ascii="Arial Narrow" w:eastAsia="SimSun" w:hAnsi="Arial Narrow" w:cs="Calibri"/>
              </w:rPr>
              <w:t>ing directly to the project</w:t>
            </w:r>
            <w:r w:rsidR="002B1B91" w:rsidRPr="0031382A">
              <w:rPr>
                <w:rFonts w:ascii="Arial Narrow" w:eastAsia="SimSun" w:hAnsi="Arial Narrow" w:cs="Calibri"/>
              </w:rPr>
              <w:t xml:space="preserve"> bank account be distinguished from cash going to TRF if all cash is entered on the “</w:t>
            </w:r>
            <w:r w:rsidR="00FD0545" w:rsidRPr="0031382A">
              <w:rPr>
                <w:rFonts w:ascii="Arial Narrow" w:eastAsia="SimSun" w:hAnsi="Arial Narrow" w:cs="Calibri"/>
              </w:rPr>
              <w:t>cash from club</w:t>
            </w:r>
            <w:r w:rsidR="002B1B91" w:rsidRPr="0031382A">
              <w:rPr>
                <w:rFonts w:ascii="Arial Narrow" w:eastAsia="SimSun" w:hAnsi="Arial Narrow" w:cs="Calibri"/>
              </w:rPr>
              <w:t>”</w:t>
            </w:r>
            <w:r w:rsidR="00FD0545" w:rsidRPr="0031382A">
              <w:rPr>
                <w:rFonts w:ascii="Arial Narrow" w:eastAsia="SimSun" w:hAnsi="Arial Narrow" w:cs="Calibri"/>
              </w:rPr>
              <w:t xml:space="preserve"> line?</w:t>
            </w:r>
          </w:p>
          <w:p w:rsidR="00FD0545" w:rsidRPr="00CB7521" w:rsidRDefault="00FD0545" w:rsidP="0013713B">
            <w:pPr>
              <w:spacing w:after="0" w:line="240" w:lineRule="auto"/>
              <w:rPr>
                <w:rFonts w:ascii="Arial Narrow" w:eastAsia="SimSun" w:hAnsi="Arial Narrow" w:cs="Arial"/>
              </w:rPr>
            </w:pPr>
          </w:p>
        </w:tc>
        <w:tc>
          <w:tcPr>
            <w:tcW w:w="8554" w:type="dxa"/>
            <w:vAlign w:val="center"/>
          </w:tcPr>
          <w:p w:rsidR="00DC2B2A" w:rsidRPr="00CB7521" w:rsidRDefault="00DC2B2A" w:rsidP="009112C8">
            <w:pPr>
              <w:spacing w:after="0" w:line="240" w:lineRule="auto"/>
              <w:rPr>
                <w:rFonts w:ascii="Arial Narrow" w:eastAsia="SimSun" w:hAnsi="Arial Narrow"/>
              </w:rPr>
            </w:pPr>
          </w:p>
          <w:p w:rsidR="009112C8" w:rsidRPr="00CB7521" w:rsidRDefault="009112C8" w:rsidP="009112C8">
            <w:pPr>
              <w:spacing w:after="0" w:line="240" w:lineRule="auto"/>
              <w:rPr>
                <w:rFonts w:ascii="Arial Narrow" w:eastAsia="SimSun" w:hAnsi="Arial Narrow"/>
              </w:rPr>
            </w:pPr>
            <w:r w:rsidRPr="00CB7521">
              <w:rPr>
                <w:rFonts w:ascii="Arial Narrow" w:eastAsia="SimSun" w:hAnsi="Arial Narrow"/>
              </w:rPr>
              <w:t>When TRF receives the grant application, the grant coordinator will assume that all grant cash is paid to The Rotary Foundation and will calculate the additional 5% amount required to process the cash. When the grant sponsor specifies to the grant coordinator the amount that is going directly to the project bank account, the coordinator will note that amount in SmartSimple and update the calculation so that the 5% will no longer be assessed on the portion paid directly to the project account.</w:t>
            </w:r>
            <w:r w:rsidR="00877A1C" w:rsidRPr="0031382A">
              <w:rPr>
                <w:rFonts w:ascii="Arial Narrow" w:eastAsia="SimSun" w:hAnsi="Arial Narrow"/>
              </w:rPr>
              <w:t xml:space="preserve"> </w:t>
            </w:r>
            <w:r w:rsidRPr="00CB7521">
              <w:rPr>
                <w:rFonts w:ascii="Arial Narrow" w:eastAsia="SimSun" w:hAnsi="Arial Narrow"/>
              </w:rPr>
              <w:t xml:space="preserve">Once the change has been made to the grant, </w:t>
            </w:r>
            <w:r w:rsidR="00DC2B2A" w:rsidRPr="00CB7521">
              <w:rPr>
                <w:rFonts w:ascii="Arial Narrow" w:eastAsia="SimSun" w:hAnsi="Arial Narrow"/>
              </w:rPr>
              <w:t xml:space="preserve">Rotary staff and Rotarians will be able to see the </w:t>
            </w:r>
            <w:r w:rsidRPr="00CB7521">
              <w:rPr>
                <w:rFonts w:ascii="Arial Narrow" w:eastAsia="SimSun" w:hAnsi="Arial Narrow"/>
              </w:rPr>
              <w:t>new total amount owed.</w:t>
            </w:r>
          </w:p>
          <w:p w:rsidR="00FD0545" w:rsidRPr="00CB7521" w:rsidRDefault="009112C8" w:rsidP="00DC2B2A">
            <w:pPr>
              <w:pStyle w:val="BodyParagraph"/>
            </w:pPr>
            <w:r w:rsidRPr="0031382A">
              <w:t xml:space="preserve"> </w:t>
            </w:r>
          </w:p>
        </w:tc>
      </w:tr>
      <w:tr w:rsidR="003F2448" w:rsidRPr="0031382A" w:rsidTr="00D126E0">
        <w:trPr>
          <w:trHeight w:val="496"/>
        </w:trPr>
        <w:tc>
          <w:tcPr>
            <w:tcW w:w="5418" w:type="dxa"/>
            <w:vAlign w:val="center"/>
          </w:tcPr>
          <w:p w:rsidR="00D126E0" w:rsidRPr="00CB7521" w:rsidRDefault="006D4AA6" w:rsidP="000B5FC6">
            <w:pPr>
              <w:pStyle w:val="BodyParagraph"/>
            </w:pPr>
            <w:r w:rsidRPr="0031382A">
              <w:rPr>
                <w:b/>
              </w:rPr>
              <w:t>2</w:t>
            </w:r>
            <w:r w:rsidR="004419AF">
              <w:rPr>
                <w:b/>
              </w:rPr>
              <w:t>1</w:t>
            </w:r>
            <w:r w:rsidR="00866656" w:rsidRPr="0031382A">
              <w:rPr>
                <w:b/>
              </w:rPr>
              <w:t>.</w:t>
            </w:r>
            <w:r w:rsidRPr="0031382A">
              <w:t xml:space="preserve"> </w:t>
            </w:r>
            <w:r w:rsidR="00D126E0" w:rsidRPr="0031382A">
              <w:t>How will Foundation recognition points be determined: on the full amount of the cash contribution or on the full amount minus the 5% for administrative costs?</w:t>
            </w:r>
          </w:p>
        </w:tc>
        <w:tc>
          <w:tcPr>
            <w:tcW w:w="8554" w:type="dxa"/>
            <w:vAlign w:val="center"/>
          </w:tcPr>
          <w:p w:rsidR="00D126E0" w:rsidRPr="00CB7521" w:rsidRDefault="00BA1FB3" w:rsidP="00A55771">
            <w:pPr>
              <w:pStyle w:val="BodyParagraph"/>
            </w:pPr>
            <w:r w:rsidRPr="0031382A">
              <w:t>P</w:t>
            </w:r>
            <w:r w:rsidR="00027A8E" w:rsidRPr="0031382A">
              <w:t xml:space="preserve">oints for </w:t>
            </w:r>
            <w:r w:rsidR="00D126E0" w:rsidRPr="0031382A">
              <w:t xml:space="preserve">Paul Harris </w:t>
            </w:r>
            <w:r w:rsidR="00027A8E" w:rsidRPr="0031382A">
              <w:t>Fellow recognition</w:t>
            </w:r>
            <w:r w:rsidR="00D126E0" w:rsidRPr="0031382A">
              <w:t xml:space="preserve"> will be awarded on the full cash contribution; </w:t>
            </w:r>
            <w:r w:rsidR="00027A8E" w:rsidRPr="0031382A">
              <w:t>t</w:t>
            </w:r>
            <w:r w:rsidR="00D126E0" w:rsidRPr="0031382A">
              <w:t xml:space="preserve">ax receipts will </w:t>
            </w:r>
            <w:r w:rsidR="00F87D5E" w:rsidRPr="0031382A">
              <w:t xml:space="preserve">also </w:t>
            </w:r>
            <w:r w:rsidR="00D126E0" w:rsidRPr="0031382A">
              <w:t>be on the total amount of the cash contribution.  However, the 50% World Fund match will be on the cash going to the grant and not on the additional 5%.</w:t>
            </w:r>
          </w:p>
        </w:tc>
      </w:tr>
      <w:tr w:rsidR="003F2448" w:rsidRPr="0031382A" w:rsidTr="00F87D5E">
        <w:trPr>
          <w:trHeight w:val="496"/>
        </w:trPr>
        <w:tc>
          <w:tcPr>
            <w:tcW w:w="5418" w:type="dxa"/>
            <w:vAlign w:val="center"/>
          </w:tcPr>
          <w:p w:rsidR="00D126E0" w:rsidRPr="00CB7521" w:rsidRDefault="006D4AA6" w:rsidP="000B5FC6">
            <w:pPr>
              <w:pStyle w:val="BodyParagraph"/>
            </w:pPr>
            <w:r w:rsidRPr="0031382A">
              <w:rPr>
                <w:b/>
              </w:rPr>
              <w:t>2</w:t>
            </w:r>
            <w:r w:rsidR="004419AF">
              <w:rPr>
                <w:b/>
              </w:rPr>
              <w:t>2</w:t>
            </w:r>
            <w:r w:rsidR="00866656" w:rsidRPr="0031382A">
              <w:rPr>
                <w:b/>
              </w:rPr>
              <w:t>.</w:t>
            </w:r>
            <w:r w:rsidRPr="0031382A">
              <w:t xml:space="preserve"> </w:t>
            </w:r>
            <w:r w:rsidR="00D126E0" w:rsidRPr="0031382A">
              <w:t xml:space="preserve">Does </w:t>
            </w:r>
            <w:r w:rsidR="00F87D5E" w:rsidRPr="0031382A">
              <w:t>the funding model</w:t>
            </w:r>
            <w:r w:rsidR="00D126E0" w:rsidRPr="0031382A">
              <w:t xml:space="preserve"> apply to funds now being collected for TRF?</w:t>
            </w:r>
          </w:p>
        </w:tc>
        <w:tc>
          <w:tcPr>
            <w:tcW w:w="8554" w:type="dxa"/>
            <w:vAlign w:val="center"/>
          </w:tcPr>
          <w:p w:rsidR="00D126E0" w:rsidRPr="00CB7521" w:rsidRDefault="00F87D5E" w:rsidP="00A55771">
            <w:pPr>
              <w:pStyle w:val="BodyParagraph"/>
            </w:pPr>
            <w:r w:rsidRPr="0031382A">
              <w:t>The</w:t>
            </w:r>
            <w:r w:rsidR="00D126E0" w:rsidRPr="0031382A">
              <w:t xml:space="preserve"> model</w:t>
            </w:r>
            <w:r w:rsidR="002B05F1" w:rsidRPr="0031382A">
              <w:t xml:space="preserve"> applies</w:t>
            </w:r>
            <w:r w:rsidR="00D126E0" w:rsidRPr="0031382A">
              <w:t xml:space="preserve"> to contributions made after 1 July 2015. This </w:t>
            </w:r>
            <w:r w:rsidRPr="0031382A">
              <w:t xml:space="preserve">timeframe </w:t>
            </w:r>
            <w:r w:rsidR="00D126E0" w:rsidRPr="0031382A">
              <w:t xml:space="preserve">allows TRF </w:t>
            </w:r>
            <w:r w:rsidRPr="0031382A">
              <w:t>to</w:t>
            </w:r>
            <w:r w:rsidR="00D126E0" w:rsidRPr="0031382A">
              <w:t xml:space="preserve"> communicate the change, update the online grant application, and provide necessary training. Contributions coming in </w:t>
            </w:r>
            <w:r w:rsidR="009311AC" w:rsidRPr="0031382A">
              <w:t>from now through</w:t>
            </w:r>
            <w:r w:rsidR="00D126E0" w:rsidRPr="0031382A">
              <w:t xml:space="preserve"> 30 June will be received and approved using the current system.</w:t>
            </w:r>
          </w:p>
        </w:tc>
      </w:tr>
      <w:tr w:rsidR="00947F2C" w:rsidRPr="0031382A" w:rsidTr="00F87D5E">
        <w:trPr>
          <w:trHeight w:val="496"/>
        </w:trPr>
        <w:tc>
          <w:tcPr>
            <w:tcW w:w="5418" w:type="dxa"/>
            <w:vAlign w:val="center"/>
          </w:tcPr>
          <w:p w:rsidR="00947F2C" w:rsidRPr="00CB7521" w:rsidRDefault="006D4AA6" w:rsidP="000B5FC6">
            <w:pPr>
              <w:pStyle w:val="BodyParagraph"/>
            </w:pPr>
            <w:r w:rsidRPr="0031382A">
              <w:rPr>
                <w:b/>
              </w:rPr>
              <w:t>2</w:t>
            </w:r>
            <w:r w:rsidR="004419AF">
              <w:rPr>
                <w:b/>
              </w:rPr>
              <w:t>3</w:t>
            </w:r>
            <w:r w:rsidR="00866656" w:rsidRPr="0031382A">
              <w:rPr>
                <w:b/>
              </w:rPr>
              <w:t>.</w:t>
            </w:r>
            <w:r w:rsidRPr="0031382A">
              <w:t xml:space="preserve"> </w:t>
            </w:r>
            <w:r w:rsidR="00947F2C" w:rsidRPr="0031382A">
              <w:t>Is there a “grandfathering period” for the funding model?</w:t>
            </w:r>
          </w:p>
        </w:tc>
        <w:tc>
          <w:tcPr>
            <w:tcW w:w="8554" w:type="dxa"/>
            <w:vAlign w:val="center"/>
          </w:tcPr>
          <w:p w:rsidR="001A52E1" w:rsidRPr="0031382A" w:rsidRDefault="001A52E1" w:rsidP="00E4231B">
            <w:pPr>
              <w:pStyle w:val="PlainText"/>
              <w:rPr>
                <w:rFonts w:ascii="Arial Narrow" w:eastAsia="Times New Roman" w:hAnsi="Arial Narrow" w:cstheme="majorHAnsi"/>
                <w:sz w:val="24"/>
                <w:szCs w:val="24"/>
                <w:lang w:eastAsia="en-US"/>
              </w:rPr>
            </w:pPr>
          </w:p>
          <w:p w:rsidR="00AB4604" w:rsidRPr="007E1207" w:rsidRDefault="00AB4604" w:rsidP="00E4231B">
            <w:pPr>
              <w:pStyle w:val="PlainText"/>
              <w:rPr>
                <w:rFonts w:ascii="Arial Narrow" w:eastAsia="SimSun" w:hAnsi="Arial Narrow" w:cstheme="majorHAnsi"/>
                <w:sz w:val="24"/>
                <w:szCs w:val="24"/>
              </w:rPr>
            </w:pPr>
            <w:r w:rsidRPr="0031382A">
              <w:rPr>
                <w:rFonts w:ascii="Arial Narrow" w:hAnsi="Arial Narrow" w:cstheme="majorHAnsi"/>
                <w:sz w:val="24"/>
                <w:szCs w:val="24"/>
              </w:rPr>
              <w:t xml:space="preserve">As of </w:t>
            </w:r>
            <w:r w:rsidR="001A52E1" w:rsidRPr="0031382A">
              <w:rPr>
                <w:rFonts w:ascii="Arial Narrow" w:hAnsi="Arial Narrow" w:cstheme="majorHAnsi"/>
                <w:sz w:val="24"/>
                <w:szCs w:val="24"/>
              </w:rPr>
              <w:t xml:space="preserve">1 </w:t>
            </w:r>
            <w:r w:rsidR="001A52E1" w:rsidRPr="007E1207">
              <w:rPr>
                <w:rFonts w:ascii="Arial Narrow" w:eastAsia="SimSun" w:hAnsi="Arial Narrow" w:cstheme="majorHAnsi"/>
                <w:sz w:val="24"/>
                <w:szCs w:val="24"/>
              </w:rPr>
              <w:t>July</w:t>
            </w:r>
            <w:r w:rsidRPr="007E1207">
              <w:rPr>
                <w:rFonts w:ascii="Arial Narrow" w:eastAsia="SimSun" w:hAnsi="Arial Narrow" w:cstheme="majorHAnsi"/>
                <w:sz w:val="24"/>
                <w:szCs w:val="24"/>
              </w:rPr>
              <w:t xml:space="preserve">, the </w:t>
            </w:r>
            <w:r w:rsidR="001A52E1" w:rsidRPr="007E1207">
              <w:rPr>
                <w:rFonts w:ascii="Arial Narrow" w:eastAsia="SimSun" w:hAnsi="Arial Narrow" w:cstheme="majorHAnsi"/>
                <w:sz w:val="24"/>
                <w:szCs w:val="24"/>
              </w:rPr>
              <w:t>5</w:t>
            </w:r>
            <w:r w:rsidRPr="007E1207">
              <w:rPr>
                <w:rFonts w:ascii="Arial Narrow" w:eastAsia="SimSun" w:hAnsi="Arial Narrow" w:cstheme="majorHAnsi"/>
                <w:sz w:val="24"/>
                <w:szCs w:val="24"/>
              </w:rPr>
              <w:t xml:space="preserve">% </w:t>
            </w:r>
            <w:r w:rsidR="001A52E1" w:rsidRPr="007E1207">
              <w:rPr>
                <w:rFonts w:ascii="Arial Narrow" w:eastAsia="SimSun" w:hAnsi="Arial Narrow" w:cstheme="majorHAnsi"/>
                <w:sz w:val="24"/>
                <w:szCs w:val="24"/>
              </w:rPr>
              <w:t xml:space="preserve">of grant contributions </w:t>
            </w:r>
            <w:r w:rsidRPr="007E1207">
              <w:rPr>
                <w:rFonts w:ascii="Arial Narrow" w:eastAsia="SimSun" w:hAnsi="Arial Narrow" w:cstheme="majorHAnsi"/>
                <w:sz w:val="24"/>
                <w:szCs w:val="24"/>
              </w:rPr>
              <w:t>will be applied as follows:</w:t>
            </w:r>
          </w:p>
          <w:p w:rsidR="001A52E1" w:rsidRPr="007E1207" w:rsidRDefault="00AB4604" w:rsidP="00E4231B">
            <w:pPr>
              <w:spacing w:after="0" w:line="240" w:lineRule="auto"/>
              <w:ind w:left="2160"/>
              <w:jc w:val="both"/>
              <w:rPr>
                <w:rFonts w:ascii="Arial Narrow" w:eastAsia="SimSun" w:hAnsi="Arial Narrow" w:cstheme="majorHAnsi"/>
                <w:lang w:eastAsia="en-US"/>
              </w:rPr>
            </w:pPr>
            <w:r w:rsidRPr="007E1207">
              <w:rPr>
                <w:rFonts w:ascii="Arial Narrow" w:eastAsia="SimSun" w:hAnsi="Arial Narrow" w:cstheme="majorHAnsi"/>
              </w:rPr>
              <w:t xml:space="preserve"> </w:t>
            </w:r>
          </w:p>
          <w:p w:rsidR="00AB4604" w:rsidRPr="007E1207" w:rsidRDefault="008F3F31" w:rsidP="00E4231B">
            <w:pPr>
              <w:spacing w:after="0" w:line="240" w:lineRule="auto"/>
              <w:rPr>
                <w:rFonts w:ascii="Arial Narrow" w:eastAsia="SimSun" w:hAnsi="Arial Narrow" w:cstheme="majorHAnsi"/>
              </w:rPr>
            </w:pPr>
            <w:r w:rsidRPr="007E1207">
              <w:rPr>
                <w:rFonts w:ascii="Arial Narrow" w:eastAsia="SimSun" w:hAnsi="Arial Narrow" w:cstheme="majorHAnsi"/>
              </w:rPr>
              <w:t xml:space="preserve">• </w:t>
            </w:r>
            <w:r w:rsidR="00AB4604" w:rsidRPr="007E1207">
              <w:rPr>
                <w:rFonts w:ascii="Arial Narrow" w:eastAsia="SimSun" w:hAnsi="Arial Narrow" w:cstheme="majorHAnsi"/>
              </w:rPr>
              <w:t xml:space="preserve">All grants that are </w:t>
            </w:r>
            <w:r w:rsidR="0072052A">
              <w:rPr>
                <w:rFonts w:ascii="Arial Narrow" w:eastAsia="SimSun" w:hAnsi="Arial Narrow" w:cstheme="majorHAnsi"/>
              </w:rPr>
              <w:t xml:space="preserve">still </w:t>
            </w:r>
            <w:r w:rsidR="00AB4604" w:rsidRPr="007E1207">
              <w:rPr>
                <w:rFonts w:ascii="Arial Narrow" w:eastAsia="SimSun" w:hAnsi="Arial Narrow" w:cstheme="majorHAnsi"/>
              </w:rPr>
              <w:t xml:space="preserve">in </w:t>
            </w:r>
            <w:r w:rsidR="00260AB4">
              <w:rPr>
                <w:rFonts w:ascii="Arial Narrow" w:eastAsia="SimSun" w:hAnsi="Arial Narrow" w:cstheme="majorHAnsi"/>
              </w:rPr>
              <w:t>D</w:t>
            </w:r>
            <w:r w:rsidR="00AB4604" w:rsidRPr="007E1207">
              <w:rPr>
                <w:rFonts w:ascii="Arial Narrow" w:eastAsia="SimSun" w:hAnsi="Arial Narrow" w:cstheme="majorHAnsi"/>
              </w:rPr>
              <w:t xml:space="preserve">raft </w:t>
            </w:r>
            <w:r w:rsidR="00077F3A">
              <w:rPr>
                <w:rFonts w:ascii="Arial Narrow" w:eastAsia="SimSun" w:hAnsi="Arial Narrow" w:cstheme="majorHAnsi"/>
              </w:rPr>
              <w:t xml:space="preserve">or </w:t>
            </w:r>
            <w:r w:rsidR="00260AB4">
              <w:rPr>
                <w:rFonts w:ascii="Arial Narrow" w:eastAsia="SimSun" w:hAnsi="Arial Narrow" w:cstheme="majorHAnsi"/>
              </w:rPr>
              <w:t>A</w:t>
            </w:r>
            <w:r w:rsidR="00077F3A">
              <w:rPr>
                <w:rFonts w:ascii="Arial Narrow" w:eastAsia="SimSun" w:hAnsi="Arial Narrow" w:cstheme="majorHAnsi"/>
              </w:rPr>
              <w:t xml:space="preserve">uthorization </w:t>
            </w:r>
            <w:r w:rsidR="00260AB4">
              <w:rPr>
                <w:rFonts w:ascii="Arial Narrow" w:eastAsia="SimSun" w:hAnsi="Arial Narrow" w:cstheme="majorHAnsi"/>
              </w:rPr>
              <w:t>P</w:t>
            </w:r>
            <w:r w:rsidR="00077F3A">
              <w:rPr>
                <w:rFonts w:ascii="Arial Narrow" w:eastAsia="SimSun" w:hAnsi="Arial Narrow" w:cstheme="majorHAnsi"/>
              </w:rPr>
              <w:t xml:space="preserve">ending </w:t>
            </w:r>
            <w:r w:rsidR="00A9147C">
              <w:rPr>
                <w:rFonts w:ascii="Arial Narrow" w:eastAsia="SimSun" w:hAnsi="Arial Narrow" w:cstheme="majorHAnsi"/>
              </w:rPr>
              <w:t xml:space="preserve">status </w:t>
            </w:r>
            <w:r w:rsidR="001A52E1" w:rsidRPr="007E1207">
              <w:rPr>
                <w:rFonts w:ascii="Arial Narrow" w:eastAsia="SimSun" w:hAnsi="Arial Narrow" w:cstheme="majorHAnsi"/>
              </w:rPr>
              <w:t xml:space="preserve">as of 1 July </w:t>
            </w:r>
            <w:r w:rsidR="00AB4604" w:rsidRPr="007E1207">
              <w:rPr>
                <w:rFonts w:ascii="Arial Narrow" w:eastAsia="SimSun" w:hAnsi="Arial Narrow" w:cstheme="majorHAnsi"/>
              </w:rPr>
              <w:t>will be subject to the 5%</w:t>
            </w:r>
            <w:r w:rsidR="001A52E1" w:rsidRPr="007E1207">
              <w:rPr>
                <w:rFonts w:ascii="Arial Narrow" w:eastAsia="SimSun" w:hAnsi="Arial Narrow" w:cstheme="majorHAnsi"/>
              </w:rPr>
              <w:t>.</w:t>
            </w:r>
            <w:r w:rsidR="00AB4604" w:rsidRPr="007E1207">
              <w:rPr>
                <w:rFonts w:ascii="Arial Narrow" w:eastAsia="SimSun" w:hAnsi="Arial Narrow" w:cstheme="majorHAnsi"/>
              </w:rPr>
              <w:t xml:space="preserve"> </w:t>
            </w:r>
          </w:p>
          <w:p w:rsidR="00AB4604" w:rsidRPr="007E1207" w:rsidRDefault="008F3F31" w:rsidP="00E4231B">
            <w:pPr>
              <w:spacing w:after="0" w:line="240" w:lineRule="auto"/>
              <w:rPr>
                <w:rFonts w:ascii="Arial Narrow" w:eastAsia="SimSun" w:hAnsi="Arial Narrow" w:cstheme="majorHAnsi"/>
              </w:rPr>
            </w:pPr>
            <w:r w:rsidRPr="007E1207">
              <w:rPr>
                <w:rFonts w:ascii="Arial Narrow" w:eastAsia="SimSun" w:hAnsi="Arial Narrow" w:cstheme="majorHAnsi"/>
              </w:rPr>
              <w:t xml:space="preserve">• </w:t>
            </w:r>
            <w:r w:rsidR="00AB4604" w:rsidRPr="007E1207">
              <w:rPr>
                <w:rFonts w:ascii="Arial Narrow" w:eastAsia="SimSun" w:hAnsi="Arial Narrow" w:cstheme="majorHAnsi"/>
              </w:rPr>
              <w:t xml:space="preserve">Grants that are submitted before </w:t>
            </w:r>
            <w:r w:rsidR="00BA711F" w:rsidRPr="007E1207">
              <w:rPr>
                <w:rFonts w:ascii="Arial Narrow" w:eastAsia="SimSun" w:hAnsi="Arial Narrow" w:cstheme="majorHAnsi"/>
              </w:rPr>
              <w:t xml:space="preserve">1 </w:t>
            </w:r>
            <w:r w:rsidR="00AB4604" w:rsidRPr="007E1207">
              <w:rPr>
                <w:rFonts w:ascii="Arial Narrow" w:eastAsia="SimSun" w:hAnsi="Arial Narrow" w:cstheme="majorHAnsi"/>
              </w:rPr>
              <w:t>July will NOT be subject to the 5%</w:t>
            </w:r>
            <w:r w:rsidR="00BA711F" w:rsidRPr="007E1207">
              <w:rPr>
                <w:rFonts w:ascii="Arial Narrow" w:eastAsia="SimSun" w:hAnsi="Arial Narrow" w:cstheme="majorHAnsi"/>
              </w:rPr>
              <w:t>.</w:t>
            </w:r>
            <w:r w:rsidR="00AB4604" w:rsidRPr="007E1207">
              <w:rPr>
                <w:rFonts w:ascii="Arial Narrow" w:eastAsia="SimSun" w:hAnsi="Arial Narrow" w:cstheme="majorHAnsi"/>
              </w:rPr>
              <w:t xml:space="preserve"> </w:t>
            </w:r>
          </w:p>
          <w:p w:rsidR="00AB4604" w:rsidRPr="007E1207" w:rsidRDefault="008F3F31" w:rsidP="00E4231B">
            <w:pPr>
              <w:spacing w:after="0" w:line="240" w:lineRule="auto"/>
              <w:rPr>
                <w:rFonts w:ascii="Arial Narrow" w:eastAsia="SimSun" w:hAnsi="Arial Narrow" w:cstheme="majorHAnsi"/>
              </w:rPr>
            </w:pPr>
            <w:r w:rsidRPr="007E1207">
              <w:rPr>
                <w:rFonts w:ascii="Arial Narrow" w:eastAsia="SimSun" w:hAnsi="Arial Narrow" w:cstheme="majorHAnsi"/>
              </w:rPr>
              <w:t xml:space="preserve">• </w:t>
            </w:r>
            <w:r w:rsidR="00AB4604" w:rsidRPr="007E1207">
              <w:rPr>
                <w:rFonts w:ascii="Arial Narrow" w:eastAsia="SimSun" w:hAnsi="Arial Narrow" w:cstheme="majorHAnsi"/>
              </w:rPr>
              <w:t xml:space="preserve">If a grant was submitted before </w:t>
            </w:r>
            <w:r w:rsidR="0032368B" w:rsidRPr="007E1207">
              <w:rPr>
                <w:rFonts w:ascii="Arial Narrow" w:eastAsia="SimSun" w:hAnsi="Arial Narrow" w:cstheme="majorHAnsi"/>
              </w:rPr>
              <w:t xml:space="preserve">1 </w:t>
            </w:r>
            <w:r w:rsidR="00AB4604" w:rsidRPr="007E1207">
              <w:rPr>
                <w:rFonts w:ascii="Arial Narrow" w:eastAsia="SimSun" w:hAnsi="Arial Narrow" w:cstheme="majorHAnsi"/>
              </w:rPr>
              <w:t xml:space="preserve">July and returned to draft after </w:t>
            </w:r>
            <w:r w:rsidR="0032368B" w:rsidRPr="007E1207">
              <w:rPr>
                <w:rFonts w:ascii="Arial Narrow" w:eastAsia="SimSun" w:hAnsi="Arial Narrow" w:cstheme="majorHAnsi"/>
              </w:rPr>
              <w:t xml:space="preserve">1 </w:t>
            </w:r>
            <w:r w:rsidR="00AB4604" w:rsidRPr="007E1207">
              <w:rPr>
                <w:rFonts w:ascii="Arial Narrow" w:eastAsia="SimSun" w:hAnsi="Arial Narrow" w:cstheme="majorHAnsi"/>
              </w:rPr>
              <w:t>July it will NOT be subject to the 5%</w:t>
            </w:r>
            <w:r w:rsidR="0032368B" w:rsidRPr="007E1207">
              <w:rPr>
                <w:rFonts w:ascii="Arial Narrow" w:eastAsia="SimSun" w:hAnsi="Arial Narrow" w:cstheme="majorHAnsi"/>
              </w:rPr>
              <w:t>.</w:t>
            </w:r>
            <w:r w:rsidR="00AB4604" w:rsidRPr="007E1207">
              <w:rPr>
                <w:rFonts w:ascii="Arial Narrow" w:eastAsia="SimSun" w:hAnsi="Arial Narrow" w:cstheme="majorHAnsi"/>
              </w:rPr>
              <w:t xml:space="preserve">   </w:t>
            </w:r>
          </w:p>
          <w:p w:rsidR="00947F2C" w:rsidRPr="00CB7521" w:rsidRDefault="008F3F31" w:rsidP="003E053B">
            <w:pPr>
              <w:spacing w:after="240" w:line="240" w:lineRule="auto"/>
              <w:rPr>
                <w:rFonts w:ascii="Arial Narrow" w:hAnsi="Arial Narrow"/>
                <w:lang w:eastAsia="en-US"/>
              </w:rPr>
            </w:pPr>
            <w:r w:rsidRPr="007E1207">
              <w:rPr>
                <w:rFonts w:ascii="Arial Narrow" w:eastAsia="SimSun" w:hAnsi="Arial Narrow" w:cstheme="majorHAnsi"/>
              </w:rPr>
              <w:t xml:space="preserve">• </w:t>
            </w:r>
            <w:r w:rsidR="00AB4604" w:rsidRPr="007E1207">
              <w:rPr>
                <w:rFonts w:ascii="Arial Narrow" w:eastAsia="SimSun" w:hAnsi="Arial Narrow" w:cstheme="majorHAnsi"/>
              </w:rPr>
              <w:t xml:space="preserve">Grants that are approved before </w:t>
            </w:r>
            <w:r w:rsidR="0032368B" w:rsidRPr="007E1207">
              <w:rPr>
                <w:rFonts w:ascii="Arial Narrow" w:eastAsia="SimSun" w:hAnsi="Arial Narrow" w:cstheme="majorHAnsi"/>
              </w:rPr>
              <w:t xml:space="preserve">1 </w:t>
            </w:r>
            <w:r w:rsidR="00AB4604" w:rsidRPr="007E1207">
              <w:rPr>
                <w:rFonts w:ascii="Arial Narrow" w:eastAsia="SimSun" w:hAnsi="Arial Narrow" w:cstheme="majorHAnsi"/>
              </w:rPr>
              <w:t>July will NOT be subject to the 5%</w:t>
            </w:r>
            <w:r w:rsidR="0032368B" w:rsidRPr="007E1207">
              <w:rPr>
                <w:rFonts w:ascii="Arial Narrow" w:eastAsia="SimSun" w:hAnsi="Arial Narrow" w:cstheme="majorHAnsi"/>
              </w:rPr>
              <w:t>.</w:t>
            </w:r>
          </w:p>
        </w:tc>
      </w:tr>
      <w:tr w:rsidR="003F2448" w:rsidRPr="0031382A" w:rsidTr="00D126E0">
        <w:trPr>
          <w:trHeight w:val="496"/>
        </w:trPr>
        <w:tc>
          <w:tcPr>
            <w:tcW w:w="5418" w:type="dxa"/>
            <w:vAlign w:val="center"/>
          </w:tcPr>
          <w:p w:rsidR="00D126E0" w:rsidRPr="00CB7521" w:rsidRDefault="006D4AA6" w:rsidP="000B5FC6">
            <w:pPr>
              <w:pStyle w:val="BodyParagraph"/>
            </w:pPr>
            <w:r w:rsidRPr="0031382A">
              <w:rPr>
                <w:b/>
              </w:rPr>
              <w:t>2</w:t>
            </w:r>
            <w:r w:rsidR="004419AF">
              <w:rPr>
                <w:b/>
              </w:rPr>
              <w:t>4</w:t>
            </w:r>
            <w:r w:rsidR="00CD015C" w:rsidRPr="0031382A">
              <w:rPr>
                <w:b/>
              </w:rPr>
              <w:t>.</w:t>
            </w:r>
            <w:r w:rsidRPr="0031382A">
              <w:t xml:space="preserve"> </w:t>
            </w:r>
            <w:r w:rsidR="00D126E0" w:rsidRPr="0031382A">
              <w:t xml:space="preserve">Wasn’t the new grant model (Future Vision) meant to reduce administrative expense pressures? </w:t>
            </w:r>
          </w:p>
        </w:tc>
        <w:tc>
          <w:tcPr>
            <w:tcW w:w="8554" w:type="dxa"/>
            <w:vAlign w:val="center"/>
          </w:tcPr>
          <w:p w:rsidR="00D126E0" w:rsidRPr="00CB7521" w:rsidRDefault="00D126E0" w:rsidP="0029256B">
            <w:pPr>
              <w:rPr>
                <w:rFonts w:ascii="Arial Narrow" w:hAnsi="Arial Narrow"/>
              </w:rPr>
            </w:pPr>
            <w:r w:rsidRPr="0031382A">
              <w:rPr>
                <w:rFonts w:ascii="Arial Narrow" w:hAnsi="Arial Narrow"/>
                <w:lang w:val="en-AU"/>
              </w:rPr>
              <w:t xml:space="preserve">Future Vision did save </w:t>
            </w:r>
            <w:r w:rsidR="007D11F5" w:rsidRPr="0031382A">
              <w:rPr>
                <w:rFonts w:ascii="Arial Narrow" w:hAnsi="Arial Narrow"/>
                <w:lang w:val="en-AU"/>
              </w:rPr>
              <w:t xml:space="preserve">program operations </w:t>
            </w:r>
            <w:r w:rsidRPr="0031382A">
              <w:rPr>
                <w:rFonts w:ascii="Arial Narrow" w:hAnsi="Arial Narrow"/>
                <w:lang w:val="en-AU"/>
              </w:rPr>
              <w:t xml:space="preserve">costs associated with processing grants.  These are the costs </w:t>
            </w:r>
            <w:r w:rsidR="007D11F5" w:rsidRPr="0031382A">
              <w:rPr>
                <w:rFonts w:ascii="Arial Narrow" w:hAnsi="Arial Narrow"/>
                <w:lang w:val="en-AU"/>
              </w:rPr>
              <w:t>of</w:t>
            </w:r>
            <w:r w:rsidRPr="0031382A">
              <w:rPr>
                <w:rFonts w:ascii="Arial Narrow" w:hAnsi="Arial Narrow"/>
                <w:lang w:val="en-AU"/>
              </w:rPr>
              <w:t xml:space="preserve"> receiving, reviewing, and approving grants, funding grants</w:t>
            </w:r>
            <w:r w:rsidR="00DE0A92" w:rsidRPr="0031382A">
              <w:rPr>
                <w:rFonts w:ascii="Arial Narrow" w:hAnsi="Arial Narrow"/>
                <w:lang w:val="en-AU"/>
              </w:rPr>
              <w:t>,</w:t>
            </w:r>
            <w:r w:rsidRPr="0031382A">
              <w:rPr>
                <w:rFonts w:ascii="Arial Narrow" w:hAnsi="Arial Narrow"/>
                <w:lang w:val="en-AU"/>
              </w:rPr>
              <w:t xml:space="preserve"> and stewardship reviews of grants</w:t>
            </w:r>
            <w:r w:rsidR="00DE0A92" w:rsidRPr="0031382A">
              <w:rPr>
                <w:rFonts w:ascii="Arial Narrow" w:hAnsi="Arial Narrow"/>
                <w:lang w:val="en-AU"/>
              </w:rPr>
              <w:t xml:space="preserve"> to ensure they were completed as agreed</w:t>
            </w:r>
            <w:r w:rsidRPr="0031382A">
              <w:rPr>
                <w:rFonts w:ascii="Arial Narrow" w:hAnsi="Arial Narrow"/>
                <w:lang w:val="en-AU"/>
              </w:rPr>
              <w:t xml:space="preserve">. </w:t>
            </w:r>
            <w:r w:rsidR="00DE0A92" w:rsidRPr="0031382A">
              <w:rPr>
                <w:rFonts w:ascii="Arial Narrow" w:hAnsi="Arial Narrow"/>
                <w:lang w:val="en-AU"/>
              </w:rPr>
              <w:t xml:space="preserve">Future Vision </w:t>
            </w:r>
            <w:r w:rsidRPr="0031382A">
              <w:rPr>
                <w:rFonts w:ascii="Arial Narrow" w:hAnsi="Arial Narrow"/>
                <w:lang w:val="en-AU"/>
              </w:rPr>
              <w:t xml:space="preserve">reduced the number of staff </w:t>
            </w:r>
            <w:r w:rsidR="0032290F" w:rsidRPr="0031382A">
              <w:rPr>
                <w:rFonts w:ascii="Arial Narrow" w:hAnsi="Arial Narrow"/>
                <w:lang w:val="en-AU"/>
              </w:rPr>
              <w:t xml:space="preserve">who </w:t>
            </w:r>
            <w:r w:rsidRPr="0031382A">
              <w:rPr>
                <w:rFonts w:ascii="Arial Narrow" w:hAnsi="Arial Narrow"/>
                <w:lang w:val="en-AU"/>
              </w:rPr>
              <w:t>process the grants</w:t>
            </w:r>
            <w:r w:rsidR="007D11F5" w:rsidRPr="0031382A">
              <w:rPr>
                <w:rFonts w:ascii="Arial Narrow" w:hAnsi="Arial Narrow"/>
                <w:lang w:val="en-AU"/>
              </w:rPr>
              <w:t>,</w:t>
            </w:r>
            <w:r w:rsidRPr="0031382A">
              <w:rPr>
                <w:rFonts w:ascii="Arial Narrow" w:hAnsi="Arial Narrow"/>
                <w:lang w:val="en-AU"/>
              </w:rPr>
              <w:t xml:space="preserve"> but additional costs are being incurred</w:t>
            </w:r>
            <w:r w:rsidR="005320FC" w:rsidRPr="0031382A">
              <w:rPr>
                <w:rFonts w:ascii="Arial Narrow" w:hAnsi="Arial Narrow"/>
                <w:lang w:val="en-AU"/>
              </w:rPr>
              <w:t>,</w:t>
            </w:r>
            <w:r w:rsidRPr="0031382A">
              <w:rPr>
                <w:rFonts w:ascii="Arial Narrow" w:hAnsi="Arial Narrow"/>
                <w:lang w:val="en-AU"/>
              </w:rPr>
              <w:t xml:space="preserve"> as the </w:t>
            </w:r>
            <w:r w:rsidR="00DE0A92" w:rsidRPr="0031382A">
              <w:rPr>
                <w:rFonts w:ascii="Arial Narrow" w:hAnsi="Arial Narrow"/>
                <w:lang w:val="en-AU"/>
              </w:rPr>
              <w:t xml:space="preserve">Rotary </w:t>
            </w:r>
            <w:r w:rsidRPr="0031382A">
              <w:rPr>
                <w:rFonts w:ascii="Arial Narrow" w:hAnsi="Arial Narrow"/>
                <w:lang w:val="en-AU"/>
              </w:rPr>
              <w:t xml:space="preserve">Peace Centers Program and other </w:t>
            </w:r>
            <w:r w:rsidR="00DE0A92" w:rsidRPr="0031382A">
              <w:rPr>
                <w:rFonts w:ascii="Arial Narrow" w:hAnsi="Arial Narrow"/>
                <w:lang w:val="en-AU"/>
              </w:rPr>
              <w:t>efforts</w:t>
            </w:r>
            <w:r w:rsidRPr="0031382A">
              <w:rPr>
                <w:rFonts w:ascii="Arial Narrow" w:hAnsi="Arial Narrow"/>
                <w:lang w:val="en-AU"/>
              </w:rPr>
              <w:t xml:space="preserve"> are expanding.</w:t>
            </w:r>
          </w:p>
          <w:p w:rsidR="00DE0A92" w:rsidRPr="0031382A" w:rsidRDefault="00D126E0" w:rsidP="00E4231B">
            <w:pPr>
              <w:spacing w:after="0" w:line="240" w:lineRule="auto"/>
              <w:rPr>
                <w:rFonts w:ascii="Arial Narrow" w:eastAsia="Times New Roman" w:hAnsi="Arial Narrow" w:cs="Times New Roman"/>
                <w:lang w:val="en-AU" w:eastAsia="en-US"/>
              </w:rPr>
            </w:pPr>
            <w:r w:rsidRPr="0031382A">
              <w:rPr>
                <w:rFonts w:ascii="Arial Narrow" w:hAnsi="Arial Narrow"/>
                <w:lang w:val="en-AU"/>
              </w:rPr>
              <w:t xml:space="preserve">However, implementation of </w:t>
            </w:r>
            <w:r w:rsidR="00DE0A92" w:rsidRPr="0031382A">
              <w:rPr>
                <w:rFonts w:ascii="Arial Narrow" w:hAnsi="Arial Narrow"/>
                <w:lang w:val="en-AU"/>
              </w:rPr>
              <w:t xml:space="preserve">Future Vision </w:t>
            </w:r>
            <w:r w:rsidRPr="0031382A">
              <w:rPr>
                <w:rFonts w:ascii="Arial Narrow" w:hAnsi="Arial Narrow"/>
                <w:lang w:val="en-AU"/>
              </w:rPr>
              <w:t xml:space="preserve"> did not impact </w:t>
            </w:r>
            <w:r w:rsidR="008408C2" w:rsidRPr="0031382A">
              <w:rPr>
                <w:rFonts w:ascii="Arial Narrow" w:hAnsi="Arial Narrow"/>
                <w:lang w:val="en-AU"/>
              </w:rPr>
              <w:t xml:space="preserve">certain </w:t>
            </w:r>
            <w:r w:rsidRPr="0031382A">
              <w:rPr>
                <w:rFonts w:ascii="Arial Narrow" w:hAnsi="Arial Narrow"/>
                <w:lang w:val="en-AU"/>
              </w:rPr>
              <w:t xml:space="preserve">fund development and general </w:t>
            </w:r>
            <w:r w:rsidR="00B445F5" w:rsidRPr="0031382A">
              <w:rPr>
                <w:rFonts w:ascii="Arial Narrow" w:hAnsi="Arial Narrow"/>
                <w:lang w:val="en-AU"/>
              </w:rPr>
              <w:t xml:space="preserve">and </w:t>
            </w:r>
            <w:r w:rsidRPr="00077F3A">
              <w:rPr>
                <w:rFonts w:ascii="Arial Narrow" w:hAnsi="Arial Narrow"/>
                <w:lang w:val="en-AU"/>
              </w:rPr>
              <w:t>administrati</w:t>
            </w:r>
            <w:r w:rsidR="003E3FB7">
              <w:rPr>
                <w:rFonts w:ascii="Arial Narrow" w:hAnsi="Arial Narrow"/>
                <w:lang w:val="en-AU"/>
              </w:rPr>
              <w:t>on</w:t>
            </w:r>
            <w:r w:rsidR="00077F3A" w:rsidRPr="00077F3A">
              <w:rPr>
                <w:rFonts w:ascii="Arial Narrow" w:hAnsi="Arial Narrow"/>
                <w:lang w:val="en-AU"/>
              </w:rPr>
              <w:t xml:space="preserve"> expenses</w:t>
            </w:r>
            <w:r w:rsidRPr="0031382A">
              <w:rPr>
                <w:rFonts w:ascii="Arial Narrow" w:hAnsi="Arial Narrow"/>
                <w:lang w:val="en-AU"/>
              </w:rPr>
              <w:t xml:space="preserve"> – referred to as operating expenses</w:t>
            </w:r>
            <w:r w:rsidR="00DE0A92" w:rsidRPr="0031382A">
              <w:rPr>
                <w:rFonts w:ascii="Arial Narrow" w:hAnsi="Arial Narrow"/>
                <w:lang w:val="en-AU"/>
              </w:rPr>
              <w:t xml:space="preserve"> </w:t>
            </w:r>
            <w:r w:rsidR="004D1609" w:rsidRPr="0031382A">
              <w:rPr>
                <w:rFonts w:ascii="Arial Narrow" w:hAnsi="Arial Narrow"/>
                <w:lang w:val="en-AU"/>
              </w:rPr>
              <w:t>–</w:t>
            </w:r>
            <w:r w:rsidR="00DE0A92" w:rsidRPr="0031382A">
              <w:rPr>
                <w:rFonts w:ascii="Arial Narrow" w:hAnsi="Arial Narrow"/>
                <w:lang w:val="en-AU"/>
              </w:rPr>
              <w:t xml:space="preserve"> which</w:t>
            </w:r>
            <w:r w:rsidRPr="0031382A">
              <w:rPr>
                <w:rFonts w:ascii="Arial Narrow" w:hAnsi="Arial Narrow"/>
                <w:lang w:val="en-AU"/>
              </w:rPr>
              <w:t xml:space="preserve"> are covered via the funding model. Fund development expenses include </w:t>
            </w:r>
            <w:r w:rsidR="00DE0A92" w:rsidRPr="0031382A">
              <w:rPr>
                <w:rFonts w:ascii="Arial Narrow" w:eastAsia="SimSun" w:hAnsi="Arial Narrow" w:cs="Calibri"/>
              </w:rPr>
              <w:t>the cost of publicizing and conducting fundraising initiatives, legal counsel, and soliciting contributions from individuals, foundations, and others. It also includes the cost of processing contributions,</w:t>
            </w:r>
            <w:r w:rsidR="00DE0A92" w:rsidRPr="0031382A">
              <w:rPr>
                <w:rFonts w:ascii="Arial Narrow" w:eastAsia="SimSun" w:hAnsi="Arial Narrow" w:cs="Calibri"/>
                <w:color w:val="1F497D"/>
              </w:rPr>
              <w:t xml:space="preserve"> </w:t>
            </w:r>
            <w:r w:rsidR="00DE0A92" w:rsidRPr="00367A51">
              <w:rPr>
                <w:rFonts w:ascii="Arial Narrow" w:eastAsia="SimSun" w:hAnsi="Arial Narrow" w:cs="Calibri"/>
              </w:rPr>
              <w:t xml:space="preserve">tracking Foundation recognition points, and recognizing </w:t>
            </w:r>
            <w:r w:rsidR="002A195B" w:rsidRPr="00367A51">
              <w:rPr>
                <w:rFonts w:ascii="Arial Narrow" w:eastAsia="SimSun" w:hAnsi="Arial Narrow" w:cs="Calibri"/>
              </w:rPr>
              <w:t>TRF</w:t>
            </w:r>
            <w:r w:rsidR="00DE0A92" w:rsidRPr="00367A51">
              <w:rPr>
                <w:rFonts w:ascii="Arial Narrow" w:eastAsia="SimSun" w:hAnsi="Arial Narrow" w:cs="Calibri"/>
              </w:rPr>
              <w:t xml:space="preserve"> donors for their generosity.</w:t>
            </w:r>
          </w:p>
          <w:p w:rsidR="002A76C9" w:rsidRPr="00CB7521" w:rsidRDefault="002A76C9" w:rsidP="00DC6717">
            <w:pPr>
              <w:rPr>
                <w:rFonts w:ascii="Arial Narrow" w:hAnsi="Arial Narrow"/>
                <w:lang w:val="en-AU"/>
              </w:rPr>
            </w:pPr>
          </w:p>
          <w:p w:rsidR="00BD573E" w:rsidRPr="00CB7521" w:rsidRDefault="00D126E0" w:rsidP="00BD573E">
            <w:pPr>
              <w:rPr>
                <w:rFonts w:ascii="Arial Narrow" w:eastAsia="SimSun" w:hAnsi="Arial Narrow" w:cs="Calibri"/>
              </w:rPr>
            </w:pPr>
            <w:r w:rsidRPr="0031382A">
              <w:rPr>
                <w:rFonts w:ascii="Arial Narrow" w:hAnsi="Arial Narrow"/>
                <w:lang w:val="en-AU"/>
              </w:rPr>
              <w:t xml:space="preserve">General </w:t>
            </w:r>
            <w:r w:rsidR="00B445F5" w:rsidRPr="0031382A">
              <w:rPr>
                <w:rFonts w:ascii="Arial Narrow" w:hAnsi="Arial Narrow"/>
                <w:lang w:val="en-AU"/>
              </w:rPr>
              <w:t xml:space="preserve">and </w:t>
            </w:r>
            <w:r w:rsidR="008E4ED1" w:rsidRPr="0031382A">
              <w:rPr>
                <w:rFonts w:ascii="Arial Narrow" w:hAnsi="Arial Narrow"/>
                <w:lang w:val="en-AU"/>
              </w:rPr>
              <w:t>a</w:t>
            </w:r>
            <w:r w:rsidRPr="0031382A">
              <w:rPr>
                <w:rFonts w:ascii="Arial Narrow" w:hAnsi="Arial Narrow"/>
                <w:lang w:val="en-AU"/>
              </w:rPr>
              <w:t>dministrati</w:t>
            </w:r>
            <w:r w:rsidR="003E3FB7">
              <w:rPr>
                <w:rFonts w:ascii="Arial Narrow" w:hAnsi="Arial Narrow"/>
                <w:lang w:val="en-AU"/>
              </w:rPr>
              <w:t>on</w:t>
            </w:r>
            <w:r w:rsidRPr="0031382A">
              <w:rPr>
                <w:rFonts w:ascii="Arial Narrow" w:hAnsi="Arial Narrow"/>
                <w:lang w:val="en-AU"/>
              </w:rPr>
              <w:t xml:space="preserve"> expenses include corporate governance costs</w:t>
            </w:r>
            <w:r w:rsidR="00700D8A" w:rsidRPr="0031382A">
              <w:rPr>
                <w:rFonts w:ascii="Arial Narrow" w:hAnsi="Arial Narrow"/>
                <w:lang w:val="en-AU"/>
              </w:rPr>
              <w:t>,</w:t>
            </w:r>
            <w:r w:rsidR="00BD573E" w:rsidRPr="0031382A">
              <w:rPr>
                <w:rFonts w:ascii="Arial Narrow" w:hAnsi="Arial Narrow"/>
                <w:lang w:val="en-AU"/>
              </w:rPr>
              <w:t xml:space="preserve"> </w:t>
            </w:r>
            <w:r w:rsidRPr="0031382A">
              <w:rPr>
                <w:rFonts w:ascii="Arial Narrow" w:hAnsi="Arial Narrow"/>
                <w:lang w:val="en-AU"/>
              </w:rPr>
              <w:t xml:space="preserve">costs </w:t>
            </w:r>
            <w:r w:rsidR="00700D8A" w:rsidRPr="0031382A">
              <w:rPr>
                <w:rFonts w:ascii="Arial Narrow" w:hAnsi="Arial Narrow"/>
                <w:lang w:val="en-AU"/>
              </w:rPr>
              <w:t>of</w:t>
            </w:r>
            <w:r w:rsidRPr="0031382A">
              <w:rPr>
                <w:rFonts w:ascii="Arial Narrow" w:hAnsi="Arial Narrow"/>
                <w:lang w:val="en-AU"/>
              </w:rPr>
              <w:t xml:space="preserve"> processing cash</w:t>
            </w:r>
            <w:r w:rsidR="00BD573E" w:rsidRPr="0031382A">
              <w:rPr>
                <w:rFonts w:ascii="Arial Narrow" w:hAnsi="Arial Narrow"/>
                <w:lang w:val="en-AU"/>
              </w:rPr>
              <w:t xml:space="preserve">, </w:t>
            </w:r>
            <w:r w:rsidRPr="0031382A">
              <w:rPr>
                <w:rFonts w:ascii="Arial Narrow" w:hAnsi="Arial Narrow"/>
                <w:lang w:val="en-AU"/>
              </w:rPr>
              <w:t>and other</w:t>
            </w:r>
            <w:r w:rsidR="00700D8A" w:rsidRPr="0031382A">
              <w:rPr>
                <w:rFonts w:ascii="Arial Narrow" w:hAnsi="Arial Narrow"/>
                <w:lang w:val="en-AU"/>
              </w:rPr>
              <w:t xml:space="preserve"> </w:t>
            </w:r>
            <w:r w:rsidRPr="0031382A">
              <w:rPr>
                <w:rFonts w:ascii="Arial Narrow" w:hAnsi="Arial Narrow"/>
                <w:lang w:val="en-AU"/>
              </w:rPr>
              <w:t>costs.</w:t>
            </w:r>
            <w:r w:rsidR="00BD573E" w:rsidRPr="0031382A">
              <w:rPr>
                <w:rFonts w:ascii="Arial Narrow" w:hAnsi="Arial Narrow"/>
                <w:lang w:val="en-AU"/>
              </w:rPr>
              <w:t xml:space="preserve"> </w:t>
            </w:r>
            <w:r w:rsidR="000C0B89" w:rsidRPr="0031382A">
              <w:rPr>
                <w:rFonts w:ascii="Arial Narrow" w:hAnsi="Arial Narrow"/>
                <w:lang w:val="en-AU"/>
              </w:rPr>
              <w:t>TRF</w:t>
            </w:r>
            <w:r w:rsidR="00BD573E" w:rsidRPr="0031382A">
              <w:rPr>
                <w:rFonts w:ascii="Arial Narrow" w:eastAsia="SimSun" w:hAnsi="Arial Narrow" w:cs="Calibri"/>
              </w:rPr>
              <w:t xml:space="preserve"> and its associate foundations are subject to the regulations of the countries in which they receive contributions and deliver grant funds.  Therefore, </w:t>
            </w:r>
            <w:r w:rsidR="000C0B89" w:rsidRPr="0031382A">
              <w:rPr>
                <w:rFonts w:ascii="Arial Narrow" w:eastAsia="SimSun" w:hAnsi="Arial Narrow" w:cs="Calibri"/>
              </w:rPr>
              <w:t>TRF</w:t>
            </w:r>
            <w:r w:rsidR="00BD573E" w:rsidRPr="0031382A">
              <w:rPr>
                <w:rFonts w:ascii="Arial Narrow" w:eastAsia="SimSun" w:hAnsi="Arial Narrow" w:cs="Calibri"/>
              </w:rPr>
              <w:t xml:space="preserve">, because of its truly global reach, incurs comparatively higher expenses to ensure that it is compliant in all the jurisdictions in which it operates. These are complex requirements that require specific expertise, and because </w:t>
            </w:r>
            <w:r w:rsidR="00E022FF" w:rsidRPr="0031382A">
              <w:rPr>
                <w:rFonts w:ascii="Arial Narrow" w:eastAsia="SimSun" w:hAnsi="Arial Narrow" w:cs="Calibri"/>
              </w:rPr>
              <w:t>TRF</w:t>
            </w:r>
            <w:r w:rsidR="00BD573E" w:rsidRPr="0031382A">
              <w:rPr>
                <w:rFonts w:ascii="Arial Narrow" w:eastAsia="SimSun" w:hAnsi="Arial Narrow" w:cs="Calibri"/>
              </w:rPr>
              <w:t xml:space="preserve"> is dedicated to integrity and fairness, processes have been put in place to ensure that the contributions it receives are not inappropriately used or routed to benefit unscrupulous third parties. In this way, </w:t>
            </w:r>
            <w:r w:rsidR="00E022FF" w:rsidRPr="0031382A">
              <w:rPr>
                <w:rFonts w:ascii="Arial Narrow" w:eastAsia="SimSun" w:hAnsi="Arial Narrow" w:cs="Calibri"/>
              </w:rPr>
              <w:t>TRF</w:t>
            </w:r>
            <w:r w:rsidR="00BD573E" w:rsidRPr="0031382A">
              <w:rPr>
                <w:rFonts w:ascii="Arial Narrow" w:eastAsia="SimSun" w:hAnsi="Arial Narrow" w:cs="Calibri"/>
              </w:rPr>
              <w:t xml:space="preserve"> can ensure its donors that their contributions will be used to do good in the world.</w:t>
            </w:r>
          </w:p>
          <w:p w:rsidR="00BD573E" w:rsidRPr="00CB7521" w:rsidRDefault="00BD573E" w:rsidP="00BD573E">
            <w:pPr>
              <w:spacing w:after="0" w:line="240" w:lineRule="auto"/>
              <w:rPr>
                <w:rFonts w:ascii="Arial Narrow" w:eastAsia="SimSun" w:hAnsi="Arial Narrow" w:cs="Calibri"/>
              </w:rPr>
            </w:pPr>
          </w:p>
          <w:p w:rsidR="00BD573E" w:rsidRPr="00CB7521" w:rsidRDefault="00BD573E" w:rsidP="00BD573E">
            <w:pPr>
              <w:spacing w:after="0" w:line="240" w:lineRule="auto"/>
              <w:rPr>
                <w:rFonts w:ascii="Arial Narrow" w:eastAsia="SimSun" w:hAnsi="Arial Narrow" w:cs="Calibri"/>
              </w:rPr>
            </w:pPr>
            <w:r w:rsidRPr="0031382A">
              <w:rPr>
                <w:rFonts w:ascii="Arial Narrow" w:eastAsia="SimSun" w:hAnsi="Arial Narrow" w:cs="Calibri"/>
              </w:rPr>
              <w:t>In the US, a rigorous set of analytics has been established by several charity rating agencies.  These organizations rate charities not only on their costs but more importantly on their commitment to mission, financial sustainability, and transparency in reporting and governance.  The Rotary Foundation has received 4 out of 4 stars from Charity Navigator</w:t>
            </w:r>
            <w:r w:rsidRPr="0031382A">
              <w:rPr>
                <w:rFonts w:ascii="Arial Narrow" w:eastAsia="SimSun" w:hAnsi="Arial Narrow" w:cs="Calibri"/>
                <w:color w:val="1F497D"/>
              </w:rPr>
              <w:t xml:space="preserve">, </w:t>
            </w:r>
            <w:r w:rsidRPr="0031382A">
              <w:rPr>
                <w:rFonts w:ascii="Arial Narrow" w:eastAsia="SimSun" w:hAnsi="Arial Narrow" w:cs="Calibri"/>
              </w:rPr>
              <w:t>placing it in the top 3% of US-based charities.</w:t>
            </w:r>
          </w:p>
          <w:p w:rsidR="00D126E0" w:rsidRPr="00CB7521" w:rsidRDefault="00D126E0" w:rsidP="00E4231B">
            <w:pPr>
              <w:rPr>
                <w:rFonts w:ascii="Arial Narrow" w:hAnsi="Arial Narrow"/>
                <w:lang w:eastAsia="en-US"/>
              </w:rPr>
            </w:pPr>
          </w:p>
        </w:tc>
      </w:tr>
      <w:tr w:rsidR="003F2448" w:rsidRPr="0031382A" w:rsidTr="007656E7">
        <w:trPr>
          <w:trHeight w:val="496"/>
        </w:trPr>
        <w:tc>
          <w:tcPr>
            <w:tcW w:w="5418" w:type="dxa"/>
            <w:vAlign w:val="center"/>
          </w:tcPr>
          <w:p w:rsidR="00D126E0" w:rsidRPr="00CB7521" w:rsidRDefault="006D4AA6" w:rsidP="000B5FC6">
            <w:pPr>
              <w:pStyle w:val="BodyParagraph"/>
              <w:rPr>
                <w:i/>
              </w:rPr>
            </w:pPr>
            <w:r w:rsidRPr="0031382A">
              <w:rPr>
                <w:b/>
              </w:rPr>
              <w:t>2</w:t>
            </w:r>
            <w:r w:rsidR="004419AF">
              <w:rPr>
                <w:b/>
              </w:rPr>
              <w:t>5</w:t>
            </w:r>
            <w:r w:rsidR="00CD015C" w:rsidRPr="0031382A">
              <w:rPr>
                <w:b/>
              </w:rPr>
              <w:t>.</w:t>
            </w:r>
            <w:r w:rsidRPr="0031382A">
              <w:t xml:space="preserve"> </w:t>
            </w:r>
            <w:r w:rsidR="00D126E0" w:rsidRPr="0031382A">
              <w:t xml:space="preserve">What happened to the idea that 100% of donation goes to programs? </w:t>
            </w:r>
          </w:p>
        </w:tc>
        <w:tc>
          <w:tcPr>
            <w:tcW w:w="8554" w:type="dxa"/>
            <w:vAlign w:val="center"/>
          </w:tcPr>
          <w:p w:rsidR="00D126E0" w:rsidRPr="00CB7521" w:rsidDel="004851FA" w:rsidRDefault="00D126E0" w:rsidP="0029256B">
            <w:pPr>
              <w:rPr>
                <w:rFonts w:ascii="Arial Narrow" w:hAnsi="Arial Narrow"/>
                <w:lang w:val="en-AU"/>
              </w:rPr>
            </w:pPr>
          </w:p>
          <w:p w:rsidR="00D126E0" w:rsidRPr="00CB7521" w:rsidRDefault="00D126E0" w:rsidP="00A55771">
            <w:pPr>
              <w:pStyle w:val="BodyParagraph"/>
            </w:pPr>
            <w:r w:rsidRPr="0031382A">
              <w:t xml:space="preserve">100% of contributions do go to pay for programs over time. </w:t>
            </w:r>
            <w:r w:rsidR="00077F3A">
              <w:t xml:space="preserve">Programs include </w:t>
            </w:r>
            <w:r w:rsidR="003D1F43">
              <w:t xml:space="preserve">both the </w:t>
            </w:r>
            <w:r w:rsidR="00C662B6">
              <w:t>grants</w:t>
            </w:r>
            <w:r w:rsidR="003D1F43">
              <w:t xml:space="preserve"> and the program operations expenses associated with processing and stewarding the grants. </w:t>
            </w:r>
            <w:r w:rsidR="00981B63" w:rsidRPr="0031382A">
              <w:t xml:space="preserve">Our funding model is unique in the nonprofit world, with our three-year investment cycle generating earnings to pay for fund development and general administration expenses. </w:t>
            </w:r>
            <w:r w:rsidR="00E254AB" w:rsidRPr="0031382A">
              <w:t>H</w:t>
            </w:r>
            <w:r w:rsidRPr="0031382A">
              <w:t xml:space="preserve">owever, </w:t>
            </w:r>
            <w:r w:rsidR="00E254AB" w:rsidRPr="0031382A">
              <w:t xml:space="preserve">in </w:t>
            </w:r>
            <w:r w:rsidRPr="0031382A">
              <w:t xml:space="preserve">years </w:t>
            </w:r>
            <w:r w:rsidR="00E254AB" w:rsidRPr="0031382A">
              <w:t>when</w:t>
            </w:r>
            <w:r w:rsidRPr="0031382A">
              <w:t xml:space="preserve"> </w:t>
            </w:r>
            <w:r w:rsidR="000E2994" w:rsidRPr="0031382A">
              <w:t>TRF</w:t>
            </w:r>
            <w:r w:rsidRPr="0031382A">
              <w:t xml:space="preserve"> experienced insufficient investment returns or investment losses, funds were taken from the World Fund and replenished over time.</w:t>
            </w:r>
            <w:r w:rsidR="003C014C" w:rsidRPr="0031382A">
              <w:t xml:space="preserve"> </w:t>
            </w:r>
          </w:p>
          <w:p w:rsidR="00E254AB" w:rsidRPr="00CB7521" w:rsidRDefault="00D126E0" w:rsidP="00A55771">
            <w:pPr>
              <w:pStyle w:val="BodyParagraph"/>
            </w:pPr>
            <w:r w:rsidRPr="0031382A">
              <w:t>It is important to note that all 501(c)3 organizations</w:t>
            </w:r>
            <w:r w:rsidR="00E81595" w:rsidRPr="0031382A">
              <w:t>, including TRF,</w:t>
            </w:r>
            <w:r w:rsidRPr="0031382A">
              <w:t xml:space="preserve"> incur operating expenses</w:t>
            </w:r>
            <w:r w:rsidR="00E81595" w:rsidRPr="0031382A">
              <w:t xml:space="preserve"> </w:t>
            </w:r>
            <w:r w:rsidRPr="0031382A">
              <w:t>to run their foundations</w:t>
            </w:r>
            <w:r w:rsidR="00B905A5" w:rsidRPr="0031382A">
              <w:t xml:space="preserve"> and m</w:t>
            </w:r>
            <w:r w:rsidRPr="0031382A">
              <w:t xml:space="preserve">ost use a portion of the contributions they receive to pay </w:t>
            </w:r>
            <w:r w:rsidR="00B905A5" w:rsidRPr="0031382A">
              <w:t>them</w:t>
            </w:r>
            <w:r w:rsidRPr="0031382A">
              <w:t>.</w:t>
            </w:r>
            <w:r w:rsidR="00981B63" w:rsidRPr="0031382A">
              <w:t xml:space="preserve"> </w:t>
            </w:r>
            <w:r w:rsidR="00B905A5" w:rsidRPr="0031382A">
              <w:t xml:space="preserve">For </w:t>
            </w:r>
            <w:r w:rsidR="00E81595" w:rsidRPr="0031382A">
              <w:t xml:space="preserve">TRF, as previously noted, these expenses include the costs of reviewing, processing, and stewarding its programs. For </w:t>
            </w:r>
            <w:r w:rsidR="00B905A5" w:rsidRPr="0031382A">
              <w:t>reporting purposes, p</w:t>
            </w:r>
            <w:r w:rsidR="00981B63" w:rsidRPr="0031382A">
              <w:t xml:space="preserve">rogram operating expenses </w:t>
            </w:r>
            <w:r w:rsidR="00A71A02" w:rsidRPr="0031382A">
              <w:t>are combined with program awards</w:t>
            </w:r>
            <w:r w:rsidR="00981B63" w:rsidRPr="0031382A">
              <w:t xml:space="preserve"> </w:t>
            </w:r>
            <w:r w:rsidR="00E254AB" w:rsidRPr="0031382A">
              <w:t>in accordance with US Generally Accepted Accounting Principles.</w:t>
            </w:r>
          </w:p>
          <w:p w:rsidR="003D4625" w:rsidRPr="00CB7521" w:rsidRDefault="00D126E0" w:rsidP="00A55771">
            <w:pPr>
              <w:pStyle w:val="BodyParagraph"/>
            </w:pPr>
            <w:r w:rsidRPr="0031382A">
              <w:t>Prior to 2002, the investment earnings were sufficient to pay for program operating expenses. Since</w:t>
            </w:r>
            <w:r w:rsidR="00C52F85" w:rsidRPr="0031382A">
              <w:t xml:space="preserve"> then, however</w:t>
            </w:r>
            <w:r w:rsidRPr="0031382A">
              <w:t xml:space="preserve">, investment earnings have not always been sufficient to pay for </w:t>
            </w:r>
            <w:r w:rsidR="00553878" w:rsidRPr="0031382A">
              <w:t>those</w:t>
            </w:r>
            <w:r w:rsidRPr="0031382A">
              <w:t xml:space="preserve"> expenses</w:t>
            </w:r>
            <w:r w:rsidR="00553878" w:rsidRPr="0031382A">
              <w:t>;</w:t>
            </w:r>
            <w:r w:rsidRPr="0031382A">
              <w:t xml:space="preserve"> therefore, </w:t>
            </w:r>
            <w:r w:rsidR="00553878" w:rsidRPr="0031382A">
              <w:t>they</w:t>
            </w:r>
            <w:r w:rsidRPr="0031382A">
              <w:t xml:space="preserve"> </w:t>
            </w:r>
            <w:r w:rsidR="00C52F85" w:rsidRPr="0031382A">
              <w:t xml:space="preserve">have been </w:t>
            </w:r>
            <w:r w:rsidRPr="0031382A">
              <w:t>funded partially or fully by the World Fund. Since 2008, all program expenses have been paid for from the World Fund</w:t>
            </w:r>
            <w:r w:rsidR="003D4625" w:rsidRPr="0031382A">
              <w:t>.</w:t>
            </w:r>
          </w:p>
          <w:p w:rsidR="00D126E0" w:rsidRPr="00CB7521" w:rsidRDefault="00D126E0" w:rsidP="00A55771">
            <w:pPr>
              <w:pStyle w:val="BodyParagraph"/>
            </w:pPr>
            <w:r w:rsidRPr="0031382A">
              <w:t>These changes were communicated over time</w:t>
            </w:r>
            <w:r w:rsidR="00024C25" w:rsidRPr="0031382A">
              <w:t>,</w:t>
            </w:r>
            <w:r w:rsidRPr="0031382A">
              <w:t xml:space="preserve"> but may not have been commonly understood. </w:t>
            </w:r>
            <w:r w:rsidR="00024C25" w:rsidRPr="0031382A">
              <w:t>Therefore</w:t>
            </w:r>
            <w:r w:rsidRPr="0031382A">
              <w:t xml:space="preserve">, we are hoping that the funding model and its announcement provide more transparency. </w:t>
            </w:r>
          </w:p>
          <w:p w:rsidR="00D126E0" w:rsidRPr="00CB7521" w:rsidRDefault="007656E7" w:rsidP="00A55771">
            <w:pPr>
              <w:pStyle w:val="BodyParagraph"/>
            </w:pPr>
            <w:r w:rsidRPr="0031382A">
              <w:t xml:space="preserve">TRF’s </w:t>
            </w:r>
            <w:r w:rsidR="00D126E0" w:rsidRPr="0031382A">
              <w:t xml:space="preserve">priority is and has always been </w:t>
            </w:r>
            <w:r w:rsidRPr="0031382A">
              <w:t>awarding grants</w:t>
            </w:r>
            <w:r w:rsidR="00D126E0" w:rsidRPr="0031382A">
              <w:t xml:space="preserve"> to projects. </w:t>
            </w:r>
            <w:r w:rsidR="0050270A" w:rsidRPr="0031382A">
              <w:t xml:space="preserve">However, our grant activity is in direct proportion to the flow of donations we receive via the three-year DDF cycle, so that we have no capacity to use donations to boost long-term reserves. </w:t>
            </w:r>
            <w:r w:rsidRPr="0031382A">
              <w:t>Therefore, we need to</w:t>
            </w:r>
            <w:r w:rsidR="00D126E0" w:rsidRPr="0031382A">
              <w:t xml:space="preserve"> continue to mak</w:t>
            </w:r>
            <w:r w:rsidRPr="0031382A">
              <w:t>e</w:t>
            </w:r>
            <w:r w:rsidR="00D126E0" w:rsidRPr="0031382A">
              <w:t xml:space="preserve"> sure that we always maintain a strong financial base, including </w:t>
            </w:r>
            <w:r w:rsidR="0050270A" w:rsidRPr="0031382A">
              <w:t xml:space="preserve">the </w:t>
            </w:r>
            <w:r w:rsidR="00D126E0" w:rsidRPr="0031382A">
              <w:t xml:space="preserve">operating reserves necessary to weather increased volatility in financial markets. </w:t>
            </w:r>
          </w:p>
        </w:tc>
      </w:tr>
      <w:tr w:rsidR="003F2448" w:rsidRPr="0031382A" w:rsidTr="00354DB4">
        <w:trPr>
          <w:trHeight w:val="496"/>
        </w:trPr>
        <w:tc>
          <w:tcPr>
            <w:tcW w:w="5418" w:type="dxa"/>
            <w:vAlign w:val="center"/>
          </w:tcPr>
          <w:p w:rsidR="00D126E0" w:rsidRPr="00CB7521" w:rsidRDefault="006D4AA6" w:rsidP="000B5FC6">
            <w:pPr>
              <w:pStyle w:val="BodyParagraph"/>
            </w:pPr>
            <w:r w:rsidRPr="0031382A">
              <w:rPr>
                <w:b/>
              </w:rPr>
              <w:t>2</w:t>
            </w:r>
            <w:r w:rsidR="004419AF">
              <w:rPr>
                <w:b/>
              </w:rPr>
              <w:t>6</w:t>
            </w:r>
            <w:r w:rsidR="00CD015C" w:rsidRPr="0031382A">
              <w:rPr>
                <w:b/>
              </w:rPr>
              <w:t>.</w:t>
            </w:r>
            <w:r w:rsidRPr="0031382A">
              <w:t xml:space="preserve"> </w:t>
            </w:r>
            <w:r w:rsidR="00970390" w:rsidRPr="0031382A">
              <w:t xml:space="preserve">Under the </w:t>
            </w:r>
            <w:r w:rsidR="00D126E0" w:rsidRPr="0031382A">
              <w:t>model</w:t>
            </w:r>
            <w:r w:rsidR="00970390" w:rsidRPr="0031382A">
              <w:t>,</w:t>
            </w:r>
            <w:r w:rsidR="00D126E0" w:rsidRPr="0031382A">
              <w:t xml:space="preserve"> one of the new sources of fund</w:t>
            </w:r>
            <w:r w:rsidR="00354DB4" w:rsidRPr="0031382A">
              <w:t>ing administrative costs</w:t>
            </w:r>
            <w:r w:rsidR="00D126E0" w:rsidRPr="0031382A">
              <w:t xml:space="preserve"> is “up to 10% of large corporate gifts.”  How </w:t>
            </w:r>
            <w:r w:rsidR="00354DB4" w:rsidRPr="0031382A">
              <w:t>will this process work?</w:t>
            </w:r>
            <w:r w:rsidR="00D126E0" w:rsidRPr="0031382A">
              <w:t xml:space="preserve"> </w:t>
            </w:r>
          </w:p>
        </w:tc>
        <w:tc>
          <w:tcPr>
            <w:tcW w:w="8554" w:type="dxa"/>
            <w:vAlign w:val="center"/>
          </w:tcPr>
          <w:p w:rsidR="005945F5" w:rsidRPr="00CB7521" w:rsidRDefault="005945F5" w:rsidP="00A55771">
            <w:pPr>
              <w:pStyle w:val="BodyParagraph"/>
            </w:pPr>
            <w:r w:rsidRPr="0031382A">
              <w:t xml:space="preserve">Using a portion of large corporate contributions to fund operating expenses is a well-accepted practice among donors to charities. By obtaining such gifts, </w:t>
            </w:r>
            <w:r w:rsidR="00CC30D8" w:rsidRPr="0031382A">
              <w:t>TRF</w:t>
            </w:r>
            <w:r w:rsidRPr="0031382A">
              <w:t xml:space="preserve"> can increase support for the projects in our areas of focus. Up to 10% of these gifts will cover our administration costs, thus leaving more funds for clubs and districts to support the grants.</w:t>
            </w:r>
          </w:p>
          <w:p w:rsidR="00D126E0" w:rsidRPr="00CB7521" w:rsidRDefault="005945F5" w:rsidP="00A55771">
            <w:pPr>
              <w:pStyle w:val="BodyParagraph"/>
            </w:pPr>
            <w:r w:rsidRPr="0031382A">
              <w:t>The 10% will be negotiated with the contributing corporation on a case-by-case basis, and will apply to large gifts</w:t>
            </w:r>
            <w:r w:rsidR="006E5577" w:rsidRPr="0031382A">
              <w:t xml:space="preserve"> over</w:t>
            </w:r>
            <w:r w:rsidRPr="0031382A">
              <w:t xml:space="preserve"> $500,000. This does not apply to PolioPlus Fund, Endowment Fund, or term gift contributions.</w:t>
            </w:r>
          </w:p>
        </w:tc>
      </w:tr>
      <w:tr w:rsidR="003F2448" w:rsidRPr="0031382A" w:rsidTr="00D126E0">
        <w:trPr>
          <w:trHeight w:val="496"/>
        </w:trPr>
        <w:tc>
          <w:tcPr>
            <w:tcW w:w="5418" w:type="dxa"/>
            <w:vAlign w:val="center"/>
          </w:tcPr>
          <w:p w:rsidR="00D126E0" w:rsidRPr="00CB7521" w:rsidRDefault="006D4AA6" w:rsidP="000B5FC6">
            <w:pPr>
              <w:pStyle w:val="BodyParagraph"/>
            </w:pPr>
            <w:r w:rsidRPr="0031382A">
              <w:rPr>
                <w:b/>
              </w:rPr>
              <w:t>2</w:t>
            </w:r>
            <w:r w:rsidR="004419AF">
              <w:rPr>
                <w:b/>
              </w:rPr>
              <w:t>7</w:t>
            </w:r>
            <w:r w:rsidR="00CD015C" w:rsidRPr="0031382A">
              <w:rPr>
                <w:b/>
              </w:rPr>
              <w:t>.</w:t>
            </w:r>
            <w:r w:rsidRPr="0031382A">
              <w:t xml:space="preserve"> </w:t>
            </w:r>
            <w:r w:rsidR="00D126E0" w:rsidRPr="0031382A">
              <w:t xml:space="preserve">What about reducing </w:t>
            </w:r>
            <w:r w:rsidR="00D06657" w:rsidRPr="0031382A">
              <w:t xml:space="preserve">TRF’s </w:t>
            </w:r>
            <w:r w:rsidR="00D126E0" w:rsidRPr="0031382A">
              <w:t>expenses?</w:t>
            </w:r>
          </w:p>
        </w:tc>
        <w:tc>
          <w:tcPr>
            <w:tcW w:w="8554" w:type="dxa"/>
            <w:vAlign w:val="center"/>
          </w:tcPr>
          <w:p w:rsidR="00D126E0" w:rsidRPr="00CB7521" w:rsidRDefault="00D126E0" w:rsidP="00A55771">
            <w:pPr>
              <w:pStyle w:val="BodyParagraph"/>
            </w:pPr>
            <w:r w:rsidRPr="0031382A">
              <w:t xml:space="preserve">Financial stewardship is still a top priority for </w:t>
            </w:r>
            <w:r w:rsidR="00CC30D8" w:rsidRPr="0031382A">
              <w:t>TRF</w:t>
            </w:r>
            <w:r w:rsidRPr="0031382A">
              <w:t xml:space="preserve">. Reducing costs across the board will not allow </w:t>
            </w:r>
            <w:r w:rsidR="00CC30D8" w:rsidRPr="0031382A">
              <w:t>TRF</w:t>
            </w:r>
            <w:r w:rsidRPr="0031382A">
              <w:t xml:space="preserve"> to reach its long-term goals for growth and greater impact. It is important </w:t>
            </w:r>
            <w:r w:rsidR="007A0F52" w:rsidRPr="0031382A">
              <w:t xml:space="preserve">to </w:t>
            </w:r>
            <w:r w:rsidRPr="0031382A">
              <w:t xml:space="preserve">make strategic investments to support </w:t>
            </w:r>
            <w:r w:rsidR="00CC30D8" w:rsidRPr="0031382A">
              <w:t>TRF’s</w:t>
            </w:r>
            <w:r w:rsidRPr="0031382A">
              <w:t xml:space="preserve"> growth</w:t>
            </w:r>
            <w:r w:rsidR="007A0F52" w:rsidRPr="0031382A">
              <w:t xml:space="preserve"> and</w:t>
            </w:r>
            <w:r w:rsidRPr="0031382A">
              <w:t xml:space="preserve"> investment in our fundraising activities. The number of Rotarians who support their Foundation has grown in recent years, but there are still many other members, corporate and private foundations</w:t>
            </w:r>
            <w:r w:rsidR="007A0F52" w:rsidRPr="0031382A">
              <w:t>,</w:t>
            </w:r>
            <w:r w:rsidRPr="0031382A">
              <w:t xml:space="preserve"> and non-Rotarian prospective donors</w:t>
            </w:r>
            <w:r w:rsidR="007A0F52" w:rsidRPr="0031382A">
              <w:t xml:space="preserve"> to reach</w:t>
            </w:r>
            <w:r w:rsidRPr="0031382A">
              <w:t xml:space="preserve">. </w:t>
            </w:r>
            <w:r w:rsidR="007A0F52" w:rsidRPr="0031382A">
              <w:t>M</w:t>
            </w:r>
            <w:r w:rsidRPr="0031382A">
              <w:t xml:space="preserve">ore investment in resources must be directed to these efforts. </w:t>
            </w:r>
          </w:p>
        </w:tc>
      </w:tr>
      <w:tr w:rsidR="00221C03" w:rsidRPr="0031382A" w:rsidTr="00D126E0">
        <w:trPr>
          <w:trHeight w:val="496"/>
        </w:trPr>
        <w:tc>
          <w:tcPr>
            <w:tcW w:w="5418" w:type="dxa"/>
            <w:vAlign w:val="center"/>
          </w:tcPr>
          <w:p w:rsidR="00221C03" w:rsidRDefault="00221C03" w:rsidP="00221C03">
            <w:pPr>
              <w:pStyle w:val="BodyParagraph"/>
            </w:pPr>
            <w:r w:rsidRPr="00367A51">
              <w:rPr>
                <w:b/>
              </w:rPr>
              <w:t>2</w:t>
            </w:r>
            <w:r w:rsidR="004419AF">
              <w:rPr>
                <w:b/>
              </w:rPr>
              <w:t>8</w:t>
            </w:r>
            <w:r w:rsidRPr="00367A51">
              <w:rPr>
                <w:b/>
              </w:rPr>
              <w:t>.</w:t>
            </w:r>
            <w:r>
              <w:t xml:space="preserve">  How can we avoid paying the </w:t>
            </w:r>
            <w:r w:rsidR="003502C3">
              <w:t xml:space="preserve">additional </w:t>
            </w:r>
            <w:r>
              <w:t>5%</w:t>
            </w:r>
            <w:r w:rsidR="00520AE2">
              <w:t xml:space="preserve"> on cash contributions to a global grant</w:t>
            </w:r>
            <w:r>
              <w:t>?</w:t>
            </w:r>
          </w:p>
          <w:p w:rsidR="00221C03" w:rsidRPr="0031382A" w:rsidRDefault="00221C03" w:rsidP="00A55771">
            <w:pPr>
              <w:pStyle w:val="BodyParagraph"/>
              <w:rPr>
                <w:b/>
              </w:rPr>
            </w:pPr>
          </w:p>
        </w:tc>
        <w:tc>
          <w:tcPr>
            <w:tcW w:w="8554" w:type="dxa"/>
            <w:vAlign w:val="center"/>
          </w:tcPr>
          <w:p w:rsidR="00221C03" w:rsidRPr="0031382A" w:rsidRDefault="00221C03" w:rsidP="00221C03">
            <w:pPr>
              <w:pStyle w:val="BodyParagraph"/>
            </w:pPr>
            <w:r>
              <w:t xml:space="preserve">There are two ways. First, you can send your cash contributions directly to the project bank account instead of TRF. While these contributions are matched, they do not receive Paul Harris Fellow credit. Alternatively, you can ask your district whether they are willing to release DDF for your project equal to the cash you raise, which donors can then give to the Annual Fund instead of </w:t>
            </w:r>
            <w:r w:rsidR="00662012">
              <w:t>paying</w:t>
            </w:r>
            <w:r>
              <w:t xml:space="preserve"> directly to the project. DDF receives a much better match than cash contributions, and most districts have DDF that rolls over one year to the next, so the funds are often available. But ultimately, this is a decision that must be made at the district level.</w:t>
            </w:r>
          </w:p>
          <w:p w:rsidR="00221C03" w:rsidRPr="0031382A" w:rsidRDefault="00221C03" w:rsidP="00A55771">
            <w:pPr>
              <w:pStyle w:val="BodyParagraph"/>
            </w:pPr>
          </w:p>
        </w:tc>
      </w:tr>
      <w:tr w:rsidR="003F2448" w:rsidRPr="0031382A" w:rsidTr="00D126E0">
        <w:trPr>
          <w:trHeight w:val="496"/>
        </w:trPr>
        <w:tc>
          <w:tcPr>
            <w:tcW w:w="5418" w:type="dxa"/>
            <w:vAlign w:val="center"/>
          </w:tcPr>
          <w:p w:rsidR="00D126E0" w:rsidRPr="00CB7521" w:rsidRDefault="004419AF" w:rsidP="000B5FC6">
            <w:pPr>
              <w:pStyle w:val="BodyParagraph"/>
            </w:pPr>
            <w:r>
              <w:rPr>
                <w:b/>
              </w:rPr>
              <w:t>29</w:t>
            </w:r>
            <w:r w:rsidR="00CD015C" w:rsidRPr="0031382A">
              <w:rPr>
                <w:b/>
              </w:rPr>
              <w:t>.</w:t>
            </w:r>
            <w:r w:rsidR="006D4AA6" w:rsidRPr="0031382A">
              <w:t xml:space="preserve"> </w:t>
            </w:r>
            <w:r w:rsidR="005C01BD" w:rsidRPr="0031382A">
              <w:t>Where can funding model questions be sent?</w:t>
            </w:r>
          </w:p>
        </w:tc>
        <w:tc>
          <w:tcPr>
            <w:tcW w:w="8554" w:type="dxa"/>
            <w:vAlign w:val="center"/>
          </w:tcPr>
          <w:p w:rsidR="007B1F94" w:rsidRPr="00CB7521" w:rsidRDefault="007B1F94" w:rsidP="00A55771">
            <w:pPr>
              <w:pStyle w:val="BodyParagraph"/>
            </w:pPr>
            <w:r w:rsidRPr="0031382A">
              <w:t xml:space="preserve">To </w:t>
            </w:r>
            <w:hyperlink r:id="rId12" w:history="1">
              <w:r w:rsidRPr="0031382A">
                <w:rPr>
                  <w:rStyle w:val="Hyperlink"/>
                </w:rPr>
                <w:t>fundingmodel@rotary.org</w:t>
              </w:r>
            </w:hyperlink>
            <w:r w:rsidRPr="0031382A">
              <w:t>.</w:t>
            </w:r>
          </w:p>
        </w:tc>
      </w:tr>
      <w:tr w:rsidR="003F2448" w:rsidRPr="0031382A" w:rsidTr="00D126E0">
        <w:trPr>
          <w:trHeight w:val="496"/>
        </w:trPr>
        <w:tc>
          <w:tcPr>
            <w:tcW w:w="5418" w:type="dxa"/>
            <w:vAlign w:val="center"/>
          </w:tcPr>
          <w:p w:rsidR="003F2448" w:rsidRPr="00CB7521" w:rsidRDefault="006D4AA6" w:rsidP="000B5FC6">
            <w:pPr>
              <w:pStyle w:val="BodyParagraph"/>
            </w:pPr>
            <w:r w:rsidRPr="0031382A">
              <w:rPr>
                <w:b/>
              </w:rPr>
              <w:t>3</w:t>
            </w:r>
            <w:r w:rsidR="004419AF">
              <w:rPr>
                <w:b/>
              </w:rPr>
              <w:t>0</w:t>
            </w:r>
            <w:r w:rsidR="00CD015C" w:rsidRPr="0031382A">
              <w:rPr>
                <w:b/>
              </w:rPr>
              <w:t>.</w:t>
            </w:r>
            <w:r w:rsidRPr="0031382A">
              <w:t xml:space="preserve"> </w:t>
            </w:r>
            <w:r w:rsidR="005C01BD" w:rsidRPr="0031382A">
              <w:t>Is more information on the funding model available?</w:t>
            </w:r>
          </w:p>
        </w:tc>
        <w:tc>
          <w:tcPr>
            <w:tcW w:w="8554" w:type="dxa"/>
            <w:vAlign w:val="center"/>
          </w:tcPr>
          <w:p w:rsidR="003F2448" w:rsidRPr="00CB7521" w:rsidRDefault="007B1F94" w:rsidP="00A55771">
            <w:pPr>
              <w:pStyle w:val="BodyParagraph"/>
            </w:pPr>
            <w:r w:rsidRPr="0031382A">
              <w:t xml:space="preserve">Yes, in </w:t>
            </w:r>
            <w:hyperlink r:id="rId13" w:history="1">
              <w:r w:rsidRPr="0031382A">
                <w:rPr>
                  <w:rStyle w:val="Hyperlink"/>
                </w:rPr>
                <w:t>A Rotarian’s Guide to The Rotary Foundation Funding Model</w:t>
              </w:r>
            </w:hyperlink>
            <w:r w:rsidRPr="0031382A">
              <w:t xml:space="preserve"> in Global Outlook </w:t>
            </w:r>
            <w:r w:rsidRPr="0031382A">
              <w:rPr>
                <w:lang w:eastAsia="en-US"/>
              </w:rPr>
              <w:t xml:space="preserve">and </w:t>
            </w:r>
            <w:hyperlink r:id="rId14" w:history="1">
              <w:r w:rsidRPr="0031382A">
                <w:rPr>
                  <w:rStyle w:val="Hyperlink"/>
                  <w:lang w:eastAsia="en-US"/>
                </w:rPr>
                <w:t>Our Foundation’s Funding Model Presentation</w:t>
              </w:r>
            </w:hyperlink>
            <w:r w:rsidRPr="0031382A">
              <w:t>.</w:t>
            </w:r>
          </w:p>
        </w:tc>
      </w:tr>
    </w:tbl>
    <w:p w:rsidR="00723F9D" w:rsidRPr="0031382A" w:rsidRDefault="00723F9D" w:rsidP="00A55771">
      <w:pPr>
        <w:pStyle w:val="BodyParagraph"/>
      </w:pPr>
    </w:p>
    <w:p w:rsidR="00C662B6" w:rsidRPr="0031382A" w:rsidRDefault="00C662B6" w:rsidP="00A55771">
      <w:pPr>
        <w:pStyle w:val="BodyParagraph"/>
      </w:pPr>
    </w:p>
    <w:sectPr w:rsidR="00C662B6" w:rsidRPr="0031382A" w:rsidSect="00587A6A">
      <w:footerReference w:type="default" r:id="rId15"/>
      <w:pgSz w:w="15840" w:h="12240" w:orient="landscape"/>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54E" w:rsidRDefault="00A7354E">
      <w:r>
        <w:separator/>
      </w:r>
    </w:p>
  </w:endnote>
  <w:endnote w:type="continuationSeparator" w:id="0">
    <w:p w:rsidR="00A7354E" w:rsidRDefault="00A7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4D0" w:rsidRPr="00396E49" w:rsidRDefault="00534A78" w:rsidP="00C515E2">
    <w:pPr>
      <w:pStyle w:val="Footer"/>
      <w:tabs>
        <w:tab w:val="clear" w:pos="4320"/>
        <w:tab w:val="clear" w:pos="8640"/>
        <w:tab w:val="right" w:pos="9990"/>
      </w:tabs>
      <w:rPr>
        <w:rFonts w:ascii="Arial" w:hAnsi="Arial"/>
        <w:color w:val="0251A3"/>
        <w:sz w:val="18"/>
      </w:rPr>
    </w:pPr>
    <w:r>
      <w:rPr>
        <w:rFonts w:ascii="Arial" w:hAnsi="Arial"/>
        <w:color w:val="0251A3"/>
        <w:sz w:val="18"/>
      </w:rPr>
      <w:t>TRF Funding Model (</w:t>
    </w:r>
    <w:r w:rsidR="002F28D3">
      <w:rPr>
        <w:rFonts w:ascii="Arial" w:hAnsi="Arial"/>
        <w:color w:val="0251A3"/>
        <w:sz w:val="18"/>
      </w:rPr>
      <w:t>March 2015</w:t>
    </w:r>
    <w:r w:rsidR="00866C68">
      <w:rPr>
        <w:rFonts w:ascii="Arial" w:hAnsi="Arial"/>
        <w:color w:val="0251A3"/>
        <w:sz w:val="18"/>
      </w:rPr>
      <w:t>)</w:t>
    </w:r>
    <w:r w:rsidR="002934D0" w:rsidRPr="00396E49">
      <w:rPr>
        <w:rFonts w:ascii="Arial" w:hAnsi="Arial"/>
        <w:color w:val="0251A3"/>
        <w:sz w:val="18"/>
      </w:rPr>
      <w:tab/>
    </w:r>
    <w:r w:rsidR="002934D0" w:rsidRPr="00396E49">
      <w:rPr>
        <w:rFonts w:ascii="Arial" w:hAnsi="Arial"/>
        <w:color w:val="0251A3"/>
        <w:sz w:val="18"/>
      </w:rPr>
      <w:fldChar w:fldCharType="begin"/>
    </w:r>
    <w:r w:rsidR="002934D0" w:rsidRPr="00396E49">
      <w:rPr>
        <w:rFonts w:ascii="Arial" w:hAnsi="Arial"/>
        <w:color w:val="0251A3"/>
        <w:sz w:val="18"/>
      </w:rPr>
      <w:instrText xml:space="preserve"> PAGE </w:instrText>
    </w:r>
    <w:r w:rsidR="002934D0" w:rsidRPr="00396E49">
      <w:rPr>
        <w:rFonts w:ascii="Arial" w:hAnsi="Arial"/>
        <w:color w:val="0251A3"/>
        <w:sz w:val="18"/>
      </w:rPr>
      <w:fldChar w:fldCharType="separate"/>
    </w:r>
    <w:r w:rsidR="00DF4051">
      <w:rPr>
        <w:rFonts w:ascii="Arial" w:hAnsi="Arial"/>
        <w:noProof/>
        <w:color w:val="0251A3"/>
        <w:sz w:val="18"/>
      </w:rPr>
      <w:t>1</w:t>
    </w:r>
    <w:r w:rsidR="002934D0" w:rsidRPr="00396E49">
      <w:rPr>
        <w:rFonts w:ascii="Arial" w:hAnsi="Arial"/>
        <w:color w:val="0251A3"/>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54E" w:rsidRDefault="00A7354E">
      <w:r>
        <w:separator/>
      </w:r>
    </w:p>
  </w:footnote>
  <w:footnote w:type="continuationSeparator" w:id="0">
    <w:p w:rsidR="00A7354E" w:rsidRDefault="00A73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377A5A"/>
    <w:multiLevelType w:val="hybridMultilevel"/>
    <w:tmpl w:val="50CC183C"/>
    <w:lvl w:ilvl="0" w:tplc="6DEA125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620393B"/>
    <w:multiLevelType w:val="hybridMultilevel"/>
    <w:tmpl w:val="6EAAE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67C714B"/>
    <w:multiLevelType w:val="hybridMultilevel"/>
    <w:tmpl w:val="1F0462B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089A282F"/>
    <w:multiLevelType w:val="hybridMultilevel"/>
    <w:tmpl w:val="03681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C9263A5"/>
    <w:multiLevelType w:val="hybridMultilevel"/>
    <w:tmpl w:val="E6DC457A"/>
    <w:lvl w:ilvl="0" w:tplc="D568A3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F670BFC"/>
    <w:multiLevelType w:val="hybridMultilevel"/>
    <w:tmpl w:val="09B251D4"/>
    <w:lvl w:ilvl="0" w:tplc="04090001">
      <w:start w:val="1"/>
      <w:numFmt w:val="bullet"/>
      <w:lvlText w:val=""/>
      <w:lvlJc w:val="left"/>
      <w:pPr>
        <w:ind w:left="1098" w:hanging="360"/>
      </w:pPr>
      <w:rPr>
        <w:rFonts w:ascii="Symbol" w:hAnsi="Symbol" w:hint="default"/>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17" w15:restartNumberingAfterBreak="0">
    <w:nsid w:val="12CC4502"/>
    <w:multiLevelType w:val="hybridMultilevel"/>
    <w:tmpl w:val="483229C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160875B1"/>
    <w:multiLevelType w:val="hybridMultilevel"/>
    <w:tmpl w:val="BC36D5E0"/>
    <w:lvl w:ilvl="0" w:tplc="FF1A4F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81C183D"/>
    <w:multiLevelType w:val="hybridMultilevel"/>
    <w:tmpl w:val="7526D4F2"/>
    <w:lvl w:ilvl="0" w:tplc="BE14A0FC">
      <w:start w:val="1"/>
      <w:numFmt w:val="decimal"/>
      <w:lvlText w:val="%1."/>
      <w:lvlJc w:val="left"/>
      <w:pPr>
        <w:ind w:left="810" w:hanging="45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1EB960C4"/>
    <w:multiLevelType w:val="hybridMultilevel"/>
    <w:tmpl w:val="27EAA93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03A08E6"/>
    <w:multiLevelType w:val="hybridMultilevel"/>
    <w:tmpl w:val="F04C2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4173B68"/>
    <w:multiLevelType w:val="hybridMultilevel"/>
    <w:tmpl w:val="8DC2B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BC17A7"/>
    <w:multiLevelType w:val="hybridMultilevel"/>
    <w:tmpl w:val="32183B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6731AFD"/>
    <w:multiLevelType w:val="hybridMultilevel"/>
    <w:tmpl w:val="29F27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14111A"/>
    <w:multiLevelType w:val="hybridMultilevel"/>
    <w:tmpl w:val="40461DF4"/>
    <w:lvl w:ilvl="0" w:tplc="6DEA125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98616F"/>
    <w:multiLevelType w:val="hybridMultilevel"/>
    <w:tmpl w:val="426A4CFA"/>
    <w:lvl w:ilvl="0" w:tplc="DB32C6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4E5B0A"/>
    <w:multiLevelType w:val="hybridMultilevel"/>
    <w:tmpl w:val="BF0E07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73B5B5C"/>
    <w:multiLevelType w:val="hybridMultilevel"/>
    <w:tmpl w:val="5D38C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CD4A9D"/>
    <w:multiLevelType w:val="hybridMultilevel"/>
    <w:tmpl w:val="71428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88011B"/>
    <w:multiLevelType w:val="hybridMultilevel"/>
    <w:tmpl w:val="09EAB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C76158"/>
    <w:multiLevelType w:val="hybridMultilevel"/>
    <w:tmpl w:val="39F6EB0A"/>
    <w:lvl w:ilvl="0" w:tplc="134CA3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D30DA7"/>
    <w:multiLevelType w:val="hybridMultilevel"/>
    <w:tmpl w:val="9C9E08C6"/>
    <w:lvl w:ilvl="0" w:tplc="6DEA125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1592210"/>
    <w:multiLevelType w:val="hybridMultilevel"/>
    <w:tmpl w:val="E36A1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DFF74CB"/>
    <w:multiLevelType w:val="hybridMultilevel"/>
    <w:tmpl w:val="660679E4"/>
    <w:lvl w:ilvl="0" w:tplc="75B88450">
      <w:start w:val="1"/>
      <w:numFmt w:val="decimal"/>
      <w:lvlText w:val="%1"/>
      <w:lvlJc w:val="left"/>
      <w:pPr>
        <w:ind w:left="720" w:hanging="360"/>
      </w:pPr>
      <w:rPr>
        <w:rFonts w:ascii="Baskerville Old Face" w:hAnsi="Baskerville Old Fac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166732"/>
    <w:multiLevelType w:val="hybridMultilevel"/>
    <w:tmpl w:val="A778188C"/>
    <w:lvl w:ilvl="0" w:tplc="B2029C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 w:numId="12">
    <w:abstractNumId w:val="20"/>
  </w:num>
  <w:num w:numId="13">
    <w:abstractNumId w:val="24"/>
  </w:num>
  <w:num w:numId="14">
    <w:abstractNumId w:val="30"/>
  </w:num>
  <w:num w:numId="15">
    <w:abstractNumId w:val="13"/>
  </w:num>
  <w:num w:numId="16">
    <w:abstractNumId w:val="33"/>
  </w:num>
  <w:num w:numId="17">
    <w:abstractNumId w:val="29"/>
  </w:num>
  <w:num w:numId="18">
    <w:abstractNumId w:val="25"/>
  </w:num>
  <w:num w:numId="19">
    <w:abstractNumId w:val="23"/>
  </w:num>
  <w:num w:numId="20">
    <w:abstractNumId w:val="27"/>
  </w:num>
  <w:num w:numId="21">
    <w:abstractNumId w:val="16"/>
  </w:num>
  <w:num w:numId="22">
    <w:abstractNumId w:val="32"/>
  </w:num>
  <w:num w:numId="23">
    <w:abstractNumId w:val="11"/>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14"/>
  </w:num>
  <w:num w:numId="28">
    <w:abstractNumId w:val="12"/>
  </w:num>
  <w:num w:numId="29">
    <w:abstractNumId w:val="28"/>
  </w:num>
  <w:num w:numId="30">
    <w:abstractNumId w:val="15"/>
  </w:num>
  <w:num w:numId="31">
    <w:abstractNumId w:val="34"/>
  </w:num>
  <w:num w:numId="32">
    <w:abstractNumId w:val="35"/>
  </w:num>
  <w:num w:numId="33">
    <w:abstractNumId w:val="18"/>
  </w:num>
  <w:num w:numId="34">
    <w:abstractNumId w:val="31"/>
  </w:num>
  <w:num w:numId="35">
    <w:abstractNumId w:val="22"/>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revisionView w:markup="0"/>
  <w:trackRevision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o:colormru v:ext="edit" colors="#005da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DB0"/>
    <w:rsid w:val="00012F9C"/>
    <w:rsid w:val="00013697"/>
    <w:rsid w:val="00013F1B"/>
    <w:rsid w:val="0001664C"/>
    <w:rsid w:val="000236B2"/>
    <w:rsid w:val="00024C25"/>
    <w:rsid w:val="00026E49"/>
    <w:rsid w:val="000272FB"/>
    <w:rsid w:val="00027A8E"/>
    <w:rsid w:val="000407B2"/>
    <w:rsid w:val="0004196A"/>
    <w:rsid w:val="000465D8"/>
    <w:rsid w:val="000647DD"/>
    <w:rsid w:val="00064C53"/>
    <w:rsid w:val="00076CE5"/>
    <w:rsid w:val="00077F3A"/>
    <w:rsid w:val="00080B05"/>
    <w:rsid w:val="000863F3"/>
    <w:rsid w:val="00090213"/>
    <w:rsid w:val="00094D7D"/>
    <w:rsid w:val="000A54E3"/>
    <w:rsid w:val="000A7577"/>
    <w:rsid w:val="000B0D78"/>
    <w:rsid w:val="000B229B"/>
    <w:rsid w:val="000B5FC6"/>
    <w:rsid w:val="000C0B89"/>
    <w:rsid w:val="000C2E92"/>
    <w:rsid w:val="000D4CB1"/>
    <w:rsid w:val="000E0B92"/>
    <w:rsid w:val="000E2994"/>
    <w:rsid w:val="000F3EA0"/>
    <w:rsid w:val="000F7AE9"/>
    <w:rsid w:val="00100319"/>
    <w:rsid w:val="001014B4"/>
    <w:rsid w:val="0010360E"/>
    <w:rsid w:val="00105568"/>
    <w:rsid w:val="00112EFE"/>
    <w:rsid w:val="00121CC8"/>
    <w:rsid w:val="00124AEF"/>
    <w:rsid w:val="0012690C"/>
    <w:rsid w:val="00127209"/>
    <w:rsid w:val="001308E0"/>
    <w:rsid w:val="0013713B"/>
    <w:rsid w:val="001445D1"/>
    <w:rsid w:val="0016143A"/>
    <w:rsid w:val="00164FFA"/>
    <w:rsid w:val="00167DBF"/>
    <w:rsid w:val="00173AFE"/>
    <w:rsid w:val="00176E09"/>
    <w:rsid w:val="00181B8B"/>
    <w:rsid w:val="00183976"/>
    <w:rsid w:val="00184D8A"/>
    <w:rsid w:val="00187CB8"/>
    <w:rsid w:val="00191AF9"/>
    <w:rsid w:val="001929F4"/>
    <w:rsid w:val="001A23DB"/>
    <w:rsid w:val="001A52E1"/>
    <w:rsid w:val="001B4090"/>
    <w:rsid w:val="001B4159"/>
    <w:rsid w:val="001B4F4E"/>
    <w:rsid w:val="001B5240"/>
    <w:rsid w:val="001C21E7"/>
    <w:rsid w:val="001C2C78"/>
    <w:rsid w:val="001C51C8"/>
    <w:rsid w:val="001E67ED"/>
    <w:rsid w:val="00210AD5"/>
    <w:rsid w:val="00215496"/>
    <w:rsid w:val="00221C03"/>
    <w:rsid w:val="0022325E"/>
    <w:rsid w:val="002276C6"/>
    <w:rsid w:val="00232638"/>
    <w:rsid w:val="00237473"/>
    <w:rsid w:val="00241C6E"/>
    <w:rsid w:val="0024277C"/>
    <w:rsid w:val="00243CF7"/>
    <w:rsid w:val="002507B7"/>
    <w:rsid w:val="00253EFE"/>
    <w:rsid w:val="00260A92"/>
    <w:rsid w:val="00260AB4"/>
    <w:rsid w:val="002762AE"/>
    <w:rsid w:val="00286ACA"/>
    <w:rsid w:val="0029256B"/>
    <w:rsid w:val="00293311"/>
    <w:rsid w:val="002934D0"/>
    <w:rsid w:val="002A195B"/>
    <w:rsid w:val="002A4A01"/>
    <w:rsid w:val="002A76C9"/>
    <w:rsid w:val="002B05F1"/>
    <w:rsid w:val="002B0ECE"/>
    <w:rsid w:val="002B1B91"/>
    <w:rsid w:val="002B30C8"/>
    <w:rsid w:val="002B6604"/>
    <w:rsid w:val="002B69AD"/>
    <w:rsid w:val="002B7227"/>
    <w:rsid w:val="002C0BDA"/>
    <w:rsid w:val="002C3FF0"/>
    <w:rsid w:val="002D2910"/>
    <w:rsid w:val="002D6357"/>
    <w:rsid w:val="002D6CD3"/>
    <w:rsid w:val="002E5D22"/>
    <w:rsid w:val="002F28D3"/>
    <w:rsid w:val="00303303"/>
    <w:rsid w:val="0031382A"/>
    <w:rsid w:val="003155A4"/>
    <w:rsid w:val="003166C6"/>
    <w:rsid w:val="00320735"/>
    <w:rsid w:val="00321B31"/>
    <w:rsid w:val="0032290F"/>
    <w:rsid w:val="0032368B"/>
    <w:rsid w:val="00333B49"/>
    <w:rsid w:val="003442CD"/>
    <w:rsid w:val="0034498C"/>
    <w:rsid w:val="003502C3"/>
    <w:rsid w:val="00352912"/>
    <w:rsid w:val="00354DB4"/>
    <w:rsid w:val="003611FF"/>
    <w:rsid w:val="00362AEC"/>
    <w:rsid w:val="003642AE"/>
    <w:rsid w:val="00365B2B"/>
    <w:rsid w:val="0036798A"/>
    <w:rsid w:val="00367A51"/>
    <w:rsid w:val="00372821"/>
    <w:rsid w:val="00390D22"/>
    <w:rsid w:val="00394A7F"/>
    <w:rsid w:val="00395614"/>
    <w:rsid w:val="00397FB5"/>
    <w:rsid w:val="003A0623"/>
    <w:rsid w:val="003A0B54"/>
    <w:rsid w:val="003B16E4"/>
    <w:rsid w:val="003B5E52"/>
    <w:rsid w:val="003C014C"/>
    <w:rsid w:val="003D1F43"/>
    <w:rsid w:val="003D4625"/>
    <w:rsid w:val="003E04C6"/>
    <w:rsid w:val="003E053B"/>
    <w:rsid w:val="003E1E65"/>
    <w:rsid w:val="003E3FB7"/>
    <w:rsid w:val="003F2448"/>
    <w:rsid w:val="003F3D43"/>
    <w:rsid w:val="003F59FB"/>
    <w:rsid w:val="003F71FD"/>
    <w:rsid w:val="003F7AA2"/>
    <w:rsid w:val="00405A69"/>
    <w:rsid w:val="00406B1E"/>
    <w:rsid w:val="0041297E"/>
    <w:rsid w:val="00416C18"/>
    <w:rsid w:val="00420F71"/>
    <w:rsid w:val="00437E5F"/>
    <w:rsid w:val="004419AF"/>
    <w:rsid w:val="0045144B"/>
    <w:rsid w:val="00462494"/>
    <w:rsid w:val="004675B5"/>
    <w:rsid w:val="00470886"/>
    <w:rsid w:val="00471085"/>
    <w:rsid w:val="00473195"/>
    <w:rsid w:val="004851FA"/>
    <w:rsid w:val="00487858"/>
    <w:rsid w:val="00491229"/>
    <w:rsid w:val="004A50D3"/>
    <w:rsid w:val="004A5B9B"/>
    <w:rsid w:val="004A6AC6"/>
    <w:rsid w:val="004B5D6E"/>
    <w:rsid w:val="004D1222"/>
    <w:rsid w:val="004D1609"/>
    <w:rsid w:val="004D7EC4"/>
    <w:rsid w:val="004E3FAA"/>
    <w:rsid w:val="004E4155"/>
    <w:rsid w:val="004F0944"/>
    <w:rsid w:val="004F58AF"/>
    <w:rsid w:val="0050270A"/>
    <w:rsid w:val="00520AE2"/>
    <w:rsid w:val="005320FC"/>
    <w:rsid w:val="0053295B"/>
    <w:rsid w:val="00534A78"/>
    <w:rsid w:val="00536792"/>
    <w:rsid w:val="00536C27"/>
    <w:rsid w:val="005370DC"/>
    <w:rsid w:val="0053788A"/>
    <w:rsid w:val="00544560"/>
    <w:rsid w:val="00544B1F"/>
    <w:rsid w:val="00550196"/>
    <w:rsid w:val="00553878"/>
    <w:rsid w:val="00563E85"/>
    <w:rsid w:val="00565979"/>
    <w:rsid w:val="00576CC3"/>
    <w:rsid w:val="00577342"/>
    <w:rsid w:val="00580FF6"/>
    <w:rsid w:val="00581DA9"/>
    <w:rsid w:val="005878F9"/>
    <w:rsid w:val="00587A6A"/>
    <w:rsid w:val="00591688"/>
    <w:rsid w:val="00592474"/>
    <w:rsid w:val="005945D3"/>
    <w:rsid w:val="005945F5"/>
    <w:rsid w:val="005A0D50"/>
    <w:rsid w:val="005A6080"/>
    <w:rsid w:val="005B1FA8"/>
    <w:rsid w:val="005C01BD"/>
    <w:rsid w:val="005D2D32"/>
    <w:rsid w:val="005E0E53"/>
    <w:rsid w:val="005E2F64"/>
    <w:rsid w:val="005E377D"/>
    <w:rsid w:val="005F4CF0"/>
    <w:rsid w:val="005F6DB3"/>
    <w:rsid w:val="0060244F"/>
    <w:rsid w:val="00606B8D"/>
    <w:rsid w:val="00615AEF"/>
    <w:rsid w:val="00622339"/>
    <w:rsid w:val="00623E91"/>
    <w:rsid w:val="00623F23"/>
    <w:rsid w:val="00625A54"/>
    <w:rsid w:val="00631646"/>
    <w:rsid w:val="00635413"/>
    <w:rsid w:val="00640ED8"/>
    <w:rsid w:val="00660AE1"/>
    <w:rsid w:val="00662012"/>
    <w:rsid w:val="00662B8A"/>
    <w:rsid w:val="00672E87"/>
    <w:rsid w:val="00686011"/>
    <w:rsid w:val="006A3058"/>
    <w:rsid w:val="006B0DBC"/>
    <w:rsid w:val="006C144E"/>
    <w:rsid w:val="006D2C14"/>
    <w:rsid w:val="006D32A9"/>
    <w:rsid w:val="006D4AA6"/>
    <w:rsid w:val="006E2286"/>
    <w:rsid w:val="006E5577"/>
    <w:rsid w:val="006F122C"/>
    <w:rsid w:val="006F2C5F"/>
    <w:rsid w:val="006F3025"/>
    <w:rsid w:val="006F66C6"/>
    <w:rsid w:val="00700D8A"/>
    <w:rsid w:val="00705B8A"/>
    <w:rsid w:val="0072052A"/>
    <w:rsid w:val="00723F9D"/>
    <w:rsid w:val="0073483B"/>
    <w:rsid w:val="007370FF"/>
    <w:rsid w:val="007468C7"/>
    <w:rsid w:val="00750BCF"/>
    <w:rsid w:val="00751EC9"/>
    <w:rsid w:val="00752FD1"/>
    <w:rsid w:val="007536FC"/>
    <w:rsid w:val="007630FD"/>
    <w:rsid w:val="007656E7"/>
    <w:rsid w:val="00773257"/>
    <w:rsid w:val="00782D0A"/>
    <w:rsid w:val="00784DF2"/>
    <w:rsid w:val="00793649"/>
    <w:rsid w:val="007937A5"/>
    <w:rsid w:val="007A0F52"/>
    <w:rsid w:val="007B1F94"/>
    <w:rsid w:val="007B7E81"/>
    <w:rsid w:val="007C3367"/>
    <w:rsid w:val="007C5107"/>
    <w:rsid w:val="007D11F5"/>
    <w:rsid w:val="007D4677"/>
    <w:rsid w:val="007E1207"/>
    <w:rsid w:val="007E3EC6"/>
    <w:rsid w:val="007E49DF"/>
    <w:rsid w:val="007E4DF2"/>
    <w:rsid w:val="008044D6"/>
    <w:rsid w:val="00806EEE"/>
    <w:rsid w:val="00806F26"/>
    <w:rsid w:val="00831D84"/>
    <w:rsid w:val="008408C2"/>
    <w:rsid w:val="0085621F"/>
    <w:rsid w:val="008649D9"/>
    <w:rsid w:val="00866656"/>
    <w:rsid w:val="00866C68"/>
    <w:rsid w:val="00867C31"/>
    <w:rsid w:val="00871096"/>
    <w:rsid w:val="00872E90"/>
    <w:rsid w:val="00877A1C"/>
    <w:rsid w:val="0089599A"/>
    <w:rsid w:val="00896DB0"/>
    <w:rsid w:val="008B03BF"/>
    <w:rsid w:val="008B4844"/>
    <w:rsid w:val="008B7488"/>
    <w:rsid w:val="008C4E2A"/>
    <w:rsid w:val="008D04F0"/>
    <w:rsid w:val="008D0DA1"/>
    <w:rsid w:val="008D1FF6"/>
    <w:rsid w:val="008D6E91"/>
    <w:rsid w:val="008D7E09"/>
    <w:rsid w:val="008E213C"/>
    <w:rsid w:val="008E4ED1"/>
    <w:rsid w:val="008E6808"/>
    <w:rsid w:val="008E6BB5"/>
    <w:rsid w:val="008F3F31"/>
    <w:rsid w:val="008F68E9"/>
    <w:rsid w:val="00902884"/>
    <w:rsid w:val="009058A5"/>
    <w:rsid w:val="00905A98"/>
    <w:rsid w:val="009112C8"/>
    <w:rsid w:val="00911A12"/>
    <w:rsid w:val="00917AB9"/>
    <w:rsid w:val="009311AC"/>
    <w:rsid w:val="00933B60"/>
    <w:rsid w:val="00937CEB"/>
    <w:rsid w:val="00946646"/>
    <w:rsid w:val="00947F2C"/>
    <w:rsid w:val="00961747"/>
    <w:rsid w:val="00970390"/>
    <w:rsid w:val="009713BA"/>
    <w:rsid w:val="009720E3"/>
    <w:rsid w:val="00973252"/>
    <w:rsid w:val="009748B0"/>
    <w:rsid w:val="00974FDF"/>
    <w:rsid w:val="00981B63"/>
    <w:rsid w:val="009832A9"/>
    <w:rsid w:val="0099269D"/>
    <w:rsid w:val="00994C71"/>
    <w:rsid w:val="009A5931"/>
    <w:rsid w:val="009B14F6"/>
    <w:rsid w:val="009B2268"/>
    <w:rsid w:val="009B5140"/>
    <w:rsid w:val="009B58CF"/>
    <w:rsid w:val="009C4988"/>
    <w:rsid w:val="009C684F"/>
    <w:rsid w:val="009D0CEC"/>
    <w:rsid w:val="009D118F"/>
    <w:rsid w:val="009D3299"/>
    <w:rsid w:val="009D58C6"/>
    <w:rsid w:val="009F54BA"/>
    <w:rsid w:val="009F5B54"/>
    <w:rsid w:val="00A020A0"/>
    <w:rsid w:val="00A042E1"/>
    <w:rsid w:val="00A076C7"/>
    <w:rsid w:val="00A15380"/>
    <w:rsid w:val="00A20A27"/>
    <w:rsid w:val="00A2151F"/>
    <w:rsid w:val="00A23998"/>
    <w:rsid w:val="00A33021"/>
    <w:rsid w:val="00A33FF3"/>
    <w:rsid w:val="00A353F3"/>
    <w:rsid w:val="00A37134"/>
    <w:rsid w:val="00A43361"/>
    <w:rsid w:val="00A454B0"/>
    <w:rsid w:val="00A47636"/>
    <w:rsid w:val="00A55771"/>
    <w:rsid w:val="00A56A9F"/>
    <w:rsid w:val="00A6606A"/>
    <w:rsid w:val="00A71A02"/>
    <w:rsid w:val="00A7354E"/>
    <w:rsid w:val="00A77EDF"/>
    <w:rsid w:val="00A8203D"/>
    <w:rsid w:val="00A851E0"/>
    <w:rsid w:val="00A85296"/>
    <w:rsid w:val="00A90E63"/>
    <w:rsid w:val="00A9147C"/>
    <w:rsid w:val="00A91EEE"/>
    <w:rsid w:val="00A94D16"/>
    <w:rsid w:val="00AB0D62"/>
    <w:rsid w:val="00AB2818"/>
    <w:rsid w:val="00AB2E93"/>
    <w:rsid w:val="00AB4269"/>
    <w:rsid w:val="00AB4604"/>
    <w:rsid w:val="00AB471A"/>
    <w:rsid w:val="00AB64EC"/>
    <w:rsid w:val="00AB70E8"/>
    <w:rsid w:val="00AC09EC"/>
    <w:rsid w:val="00AD19FC"/>
    <w:rsid w:val="00AD70AB"/>
    <w:rsid w:val="00AE38BE"/>
    <w:rsid w:val="00AE54DE"/>
    <w:rsid w:val="00AE6781"/>
    <w:rsid w:val="00B022E0"/>
    <w:rsid w:val="00B04E32"/>
    <w:rsid w:val="00B072D8"/>
    <w:rsid w:val="00B07FA9"/>
    <w:rsid w:val="00B152B0"/>
    <w:rsid w:val="00B16AF9"/>
    <w:rsid w:val="00B21AC8"/>
    <w:rsid w:val="00B22BC1"/>
    <w:rsid w:val="00B239A0"/>
    <w:rsid w:val="00B24BB9"/>
    <w:rsid w:val="00B40A2E"/>
    <w:rsid w:val="00B445F5"/>
    <w:rsid w:val="00B46CBE"/>
    <w:rsid w:val="00B5338F"/>
    <w:rsid w:val="00B57E6A"/>
    <w:rsid w:val="00B73613"/>
    <w:rsid w:val="00B905A5"/>
    <w:rsid w:val="00B96C23"/>
    <w:rsid w:val="00B96F45"/>
    <w:rsid w:val="00BA1FB3"/>
    <w:rsid w:val="00BA5CE6"/>
    <w:rsid w:val="00BA711F"/>
    <w:rsid w:val="00BC1112"/>
    <w:rsid w:val="00BD4FA2"/>
    <w:rsid w:val="00BD573E"/>
    <w:rsid w:val="00BE1424"/>
    <w:rsid w:val="00BF5B06"/>
    <w:rsid w:val="00C04064"/>
    <w:rsid w:val="00C11372"/>
    <w:rsid w:val="00C23BAF"/>
    <w:rsid w:val="00C40DF4"/>
    <w:rsid w:val="00C43880"/>
    <w:rsid w:val="00C515E2"/>
    <w:rsid w:val="00C52F85"/>
    <w:rsid w:val="00C60964"/>
    <w:rsid w:val="00C61B3C"/>
    <w:rsid w:val="00C620BA"/>
    <w:rsid w:val="00C6500D"/>
    <w:rsid w:val="00C662B6"/>
    <w:rsid w:val="00C66348"/>
    <w:rsid w:val="00C743F1"/>
    <w:rsid w:val="00C80E69"/>
    <w:rsid w:val="00C829DD"/>
    <w:rsid w:val="00C82CD7"/>
    <w:rsid w:val="00C83AF3"/>
    <w:rsid w:val="00C83CE1"/>
    <w:rsid w:val="00C84535"/>
    <w:rsid w:val="00C90F1B"/>
    <w:rsid w:val="00C9429C"/>
    <w:rsid w:val="00C95C6E"/>
    <w:rsid w:val="00C96951"/>
    <w:rsid w:val="00C97316"/>
    <w:rsid w:val="00CA1BE6"/>
    <w:rsid w:val="00CA56FE"/>
    <w:rsid w:val="00CA5D2A"/>
    <w:rsid w:val="00CA6546"/>
    <w:rsid w:val="00CB2F1E"/>
    <w:rsid w:val="00CB495D"/>
    <w:rsid w:val="00CB5EBD"/>
    <w:rsid w:val="00CB7521"/>
    <w:rsid w:val="00CC0584"/>
    <w:rsid w:val="00CC25C3"/>
    <w:rsid w:val="00CC30D8"/>
    <w:rsid w:val="00CC67E6"/>
    <w:rsid w:val="00CD015C"/>
    <w:rsid w:val="00CD152F"/>
    <w:rsid w:val="00CD1CBC"/>
    <w:rsid w:val="00CD45AE"/>
    <w:rsid w:val="00CE36AE"/>
    <w:rsid w:val="00D006A9"/>
    <w:rsid w:val="00D014D6"/>
    <w:rsid w:val="00D03BFC"/>
    <w:rsid w:val="00D05589"/>
    <w:rsid w:val="00D06657"/>
    <w:rsid w:val="00D126E0"/>
    <w:rsid w:val="00D15007"/>
    <w:rsid w:val="00D21755"/>
    <w:rsid w:val="00D27E85"/>
    <w:rsid w:val="00D3094B"/>
    <w:rsid w:val="00D325C3"/>
    <w:rsid w:val="00D36E44"/>
    <w:rsid w:val="00D40EF3"/>
    <w:rsid w:val="00D441FA"/>
    <w:rsid w:val="00D478B0"/>
    <w:rsid w:val="00D5505E"/>
    <w:rsid w:val="00D56059"/>
    <w:rsid w:val="00D62081"/>
    <w:rsid w:val="00D65F00"/>
    <w:rsid w:val="00D679CE"/>
    <w:rsid w:val="00D67CB4"/>
    <w:rsid w:val="00D75329"/>
    <w:rsid w:val="00D76B97"/>
    <w:rsid w:val="00D80646"/>
    <w:rsid w:val="00D847D3"/>
    <w:rsid w:val="00D90192"/>
    <w:rsid w:val="00D90266"/>
    <w:rsid w:val="00D9119F"/>
    <w:rsid w:val="00D9287C"/>
    <w:rsid w:val="00DA315C"/>
    <w:rsid w:val="00DA4177"/>
    <w:rsid w:val="00DB3DD8"/>
    <w:rsid w:val="00DB4615"/>
    <w:rsid w:val="00DC0375"/>
    <w:rsid w:val="00DC2A5D"/>
    <w:rsid w:val="00DC2B2A"/>
    <w:rsid w:val="00DC2CFB"/>
    <w:rsid w:val="00DC5C4D"/>
    <w:rsid w:val="00DC6717"/>
    <w:rsid w:val="00DD769D"/>
    <w:rsid w:val="00DE0A92"/>
    <w:rsid w:val="00DF1575"/>
    <w:rsid w:val="00DF3EC1"/>
    <w:rsid w:val="00DF4051"/>
    <w:rsid w:val="00DF73C2"/>
    <w:rsid w:val="00E022FF"/>
    <w:rsid w:val="00E025EB"/>
    <w:rsid w:val="00E10076"/>
    <w:rsid w:val="00E24CA0"/>
    <w:rsid w:val="00E254AB"/>
    <w:rsid w:val="00E3108C"/>
    <w:rsid w:val="00E31C16"/>
    <w:rsid w:val="00E34838"/>
    <w:rsid w:val="00E3719D"/>
    <w:rsid w:val="00E402B3"/>
    <w:rsid w:val="00E41C04"/>
    <w:rsid w:val="00E4231B"/>
    <w:rsid w:val="00E436EC"/>
    <w:rsid w:val="00E45189"/>
    <w:rsid w:val="00E464B1"/>
    <w:rsid w:val="00E524E3"/>
    <w:rsid w:val="00E63965"/>
    <w:rsid w:val="00E775C4"/>
    <w:rsid w:val="00E802A4"/>
    <w:rsid w:val="00E81595"/>
    <w:rsid w:val="00E940AB"/>
    <w:rsid w:val="00EA4801"/>
    <w:rsid w:val="00EA7AE0"/>
    <w:rsid w:val="00EB0EE0"/>
    <w:rsid w:val="00EB6BB4"/>
    <w:rsid w:val="00EE26A9"/>
    <w:rsid w:val="00EE7952"/>
    <w:rsid w:val="00EF30C5"/>
    <w:rsid w:val="00EF3495"/>
    <w:rsid w:val="00EF3C92"/>
    <w:rsid w:val="00EF5F93"/>
    <w:rsid w:val="00EF697E"/>
    <w:rsid w:val="00EF7FD5"/>
    <w:rsid w:val="00F02A0F"/>
    <w:rsid w:val="00F02B23"/>
    <w:rsid w:val="00F03945"/>
    <w:rsid w:val="00F1311E"/>
    <w:rsid w:val="00F13AFE"/>
    <w:rsid w:val="00F27A9D"/>
    <w:rsid w:val="00F448AF"/>
    <w:rsid w:val="00F45AAD"/>
    <w:rsid w:val="00F51AF4"/>
    <w:rsid w:val="00F56535"/>
    <w:rsid w:val="00F64E2C"/>
    <w:rsid w:val="00F77D9D"/>
    <w:rsid w:val="00F83113"/>
    <w:rsid w:val="00F87D5E"/>
    <w:rsid w:val="00F9087B"/>
    <w:rsid w:val="00F97581"/>
    <w:rsid w:val="00FA4DD1"/>
    <w:rsid w:val="00FA4DFD"/>
    <w:rsid w:val="00FA4FAF"/>
    <w:rsid w:val="00FA6CEA"/>
    <w:rsid w:val="00FA7CBA"/>
    <w:rsid w:val="00FB1D96"/>
    <w:rsid w:val="00FC4BDA"/>
    <w:rsid w:val="00FC5001"/>
    <w:rsid w:val="00FC5E50"/>
    <w:rsid w:val="00FD0499"/>
    <w:rsid w:val="00FD0545"/>
    <w:rsid w:val="00FE2122"/>
    <w:rsid w:val="00FE26D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005daa"/>
    </o:shapedefaults>
    <o:shapelayout v:ext="edit">
      <o:idmap v:ext="edit" data="1"/>
    </o:shapelayout>
  </w:shapeDefaults>
  <w:doNotEmbedSmartTags/>
  <w:decimalSymbol w:val="."/>
  <w:listSeparator w:val=","/>
  <w14:defaultImageDpi w14:val="300"/>
  <w15:docId w15:val="{49383EB2-E06D-4137-BE1D-255758A89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after="12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1297E"/>
    <w:rPr>
      <w:rFonts w:ascii="Georgia" w:hAnsi="Georgia"/>
      <w:sz w:val="24"/>
      <w:szCs w:val="24"/>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A55771"/>
    <w:pPr>
      <w:widowControl w:val="0"/>
      <w:suppressAutoHyphens/>
      <w:autoSpaceDE w:val="0"/>
      <w:autoSpaceDN w:val="0"/>
      <w:adjustRightInd w:val="0"/>
      <w:spacing w:before="120" w:line="300" w:lineRule="atLeast"/>
      <w:ind w:right="576"/>
      <w:textAlignment w:val="center"/>
    </w:pPr>
    <w:rPr>
      <w:rFonts w:ascii="Arial Narrow" w:eastAsia="Calibri" w:hAnsi="Arial Narrow" w:cstheme="minorBidi"/>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basedOn w:val="DefaultParagraphFont"/>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pPr>
    <w:rPr>
      <w:rFonts w:ascii="Arial Narrow" w:hAnsi="Arial Narrow"/>
      <w:b/>
      <w:bCs/>
      <w:caps/>
      <w:sz w:val="24"/>
      <w:szCs w:val="24"/>
      <w:u w:val="single"/>
    </w:rPr>
  </w:style>
  <w:style w:type="paragraph" w:customStyle="1" w:styleId="NumberList">
    <w:name w:val="Number List"/>
    <w:basedOn w:val="BodyParagraph"/>
    <w:qFormat/>
    <w:rsid w:val="0022325E"/>
    <w:pPr>
      <w:tabs>
        <w:tab w:val="right" w:pos="180"/>
      </w:tabs>
    </w:pPr>
  </w:style>
  <w:style w:type="paragraph" w:styleId="NoSpacing">
    <w:name w:val="No Spacing"/>
    <w:uiPriority w:val="1"/>
    <w:qFormat/>
    <w:rsid w:val="00416C18"/>
    <w:rPr>
      <w:rFonts w:asciiTheme="minorHAnsi" w:eastAsiaTheme="minorEastAsia" w:hAnsiTheme="minorHAnsi" w:cstheme="minorBidi"/>
      <w:sz w:val="22"/>
      <w:szCs w:val="22"/>
      <w:lang w:eastAsia="zh-CN"/>
    </w:rPr>
  </w:style>
  <w:style w:type="character" w:styleId="Hyperlink">
    <w:name w:val="Hyperlink"/>
    <w:basedOn w:val="DefaultParagraphFont"/>
    <w:uiPriority w:val="99"/>
    <w:unhideWhenUsed/>
    <w:rsid w:val="00416C18"/>
    <w:rPr>
      <w:color w:val="0000FF" w:themeColor="hyperlink"/>
      <w:u w:val="single"/>
    </w:rPr>
  </w:style>
  <w:style w:type="table" w:styleId="TableGrid">
    <w:name w:val="Table Grid"/>
    <w:basedOn w:val="TableNormal"/>
    <w:uiPriority w:val="59"/>
    <w:rsid w:val="00416C18"/>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C09EC"/>
    <w:rPr>
      <w:sz w:val="16"/>
      <w:szCs w:val="16"/>
    </w:rPr>
  </w:style>
  <w:style w:type="paragraph" w:styleId="CommentText">
    <w:name w:val="annotation text"/>
    <w:basedOn w:val="Normal"/>
    <w:link w:val="CommentTextChar"/>
    <w:uiPriority w:val="99"/>
    <w:semiHidden/>
    <w:unhideWhenUsed/>
    <w:rsid w:val="00AC09EC"/>
    <w:rPr>
      <w:sz w:val="20"/>
      <w:szCs w:val="20"/>
    </w:rPr>
  </w:style>
  <w:style w:type="character" w:customStyle="1" w:styleId="CommentTextChar">
    <w:name w:val="Comment Text Char"/>
    <w:basedOn w:val="DefaultParagraphFont"/>
    <w:link w:val="CommentText"/>
    <w:uiPriority w:val="99"/>
    <w:semiHidden/>
    <w:rsid w:val="00AC09EC"/>
    <w:rPr>
      <w:rFonts w:ascii="Georgia" w:hAnsi="Georgia"/>
    </w:rPr>
  </w:style>
  <w:style w:type="paragraph" w:styleId="CommentSubject">
    <w:name w:val="annotation subject"/>
    <w:basedOn w:val="CommentText"/>
    <w:next w:val="CommentText"/>
    <w:link w:val="CommentSubjectChar"/>
    <w:uiPriority w:val="99"/>
    <w:semiHidden/>
    <w:unhideWhenUsed/>
    <w:rsid w:val="0045144B"/>
    <w:rPr>
      <w:b/>
      <w:bCs/>
    </w:rPr>
  </w:style>
  <w:style w:type="character" w:customStyle="1" w:styleId="CommentSubjectChar">
    <w:name w:val="Comment Subject Char"/>
    <w:basedOn w:val="CommentTextChar"/>
    <w:link w:val="CommentSubject"/>
    <w:uiPriority w:val="99"/>
    <w:semiHidden/>
    <w:rsid w:val="0045144B"/>
    <w:rPr>
      <w:rFonts w:ascii="Georgia" w:hAnsi="Georgia"/>
      <w:b/>
      <w:bCs/>
    </w:rPr>
  </w:style>
  <w:style w:type="character" w:styleId="FollowedHyperlink">
    <w:name w:val="FollowedHyperlink"/>
    <w:basedOn w:val="DefaultParagraphFont"/>
    <w:uiPriority w:val="99"/>
    <w:semiHidden/>
    <w:unhideWhenUsed/>
    <w:rsid w:val="00365B2B"/>
    <w:rPr>
      <w:color w:val="800080" w:themeColor="followedHyperlink"/>
      <w:u w:val="single"/>
    </w:rPr>
  </w:style>
  <w:style w:type="paragraph" w:styleId="ListParagraph">
    <w:name w:val="List Paragraph"/>
    <w:basedOn w:val="Normal"/>
    <w:uiPriority w:val="34"/>
    <w:qFormat/>
    <w:rsid w:val="00A33021"/>
    <w:pPr>
      <w:ind w:left="720"/>
      <w:contextualSpacing/>
    </w:pPr>
    <w:rPr>
      <w:rFonts w:ascii="Arial" w:eastAsiaTheme="minorEastAsia" w:hAnsi="Arial" w:cs="Arial"/>
      <w:sz w:val="22"/>
      <w:szCs w:val="22"/>
      <w:lang w:eastAsia="zh-CN"/>
    </w:rPr>
  </w:style>
  <w:style w:type="paragraph" w:styleId="Revision">
    <w:name w:val="Revision"/>
    <w:hidden/>
    <w:uiPriority w:val="99"/>
    <w:semiHidden/>
    <w:rsid w:val="00E022FF"/>
    <w:pPr>
      <w:spacing w:after="0" w:line="240" w:lineRule="auto"/>
    </w:pPr>
    <w:rPr>
      <w:rFonts w:ascii="Georgia" w:hAnsi="Georgia"/>
      <w:sz w:val="24"/>
      <w:szCs w:val="24"/>
    </w:rPr>
  </w:style>
  <w:style w:type="paragraph" w:styleId="PlainText">
    <w:name w:val="Plain Text"/>
    <w:basedOn w:val="Normal"/>
    <w:link w:val="PlainTextChar"/>
    <w:uiPriority w:val="99"/>
    <w:semiHidden/>
    <w:unhideWhenUsed/>
    <w:rsid w:val="00AB4604"/>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AB4604"/>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98064">
      <w:bodyDiv w:val="1"/>
      <w:marLeft w:val="0"/>
      <w:marRight w:val="0"/>
      <w:marTop w:val="0"/>
      <w:marBottom w:val="0"/>
      <w:divBdr>
        <w:top w:val="none" w:sz="0" w:space="0" w:color="auto"/>
        <w:left w:val="none" w:sz="0" w:space="0" w:color="auto"/>
        <w:bottom w:val="none" w:sz="0" w:space="0" w:color="auto"/>
        <w:right w:val="none" w:sz="0" w:space="0" w:color="auto"/>
      </w:divBdr>
    </w:div>
    <w:div w:id="234240458">
      <w:bodyDiv w:val="1"/>
      <w:marLeft w:val="0"/>
      <w:marRight w:val="0"/>
      <w:marTop w:val="0"/>
      <w:marBottom w:val="0"/>
      <w:divBdr>
        <w:top w:val="none" w:sz="0" w:space="0" w:color="auto"/>
        <w:left w:val="none" w:sz="0" w:space="0" w:color="auto"/>
        <w:bottom w:val="none" w:sz="0" w:space="0" w:color="auto"/>
        <w:right w:val="none" w:sz="0" w:space="0" w:color="auto"/>
      </w:divBdr>
    </w:div>
    <w:div w:id="541135969">
      <w:bodyDiv w:val="1"/>
      <w:marLeft w:val="0"/>
      <w:marRight w:val="0"/>
      <w:marTop w:val="0"/>
      <w:marBottom w:val="0"/>
      <w:divBdr>
        <w:top w:val="none" w:sz="0" w:space="0" w:color="auto"/>
        <w:left w:val="none" w:sz="0" w:space="0" w:color="auto"/>
        <w:bottom w:val="none" w:sz="0" w:space="0" w:color="auto"/>
        <w:right w:val="none" w:sz="0" w:space="0" w:color="auto"/>
      </w:divBdr>
    </w:div>
    <w:div w:id="570239953">
      <w:bodyDiv w:val="1"/>
      <w:marLeft w:val="0"/>
      <w:marRight w:val="0"/>
      <w:marTop w:val="0"/>
      <w:marBottom w:val="0"/>
      <w:divBdr>
        <w:top w:val="none" w:sz="0" w:space="0" w:color="auto"/>
        <w:left w:val="none" w:sz="0" w:space="0" w:color="auto"/>
        <w:bottom w:val="none" w:sz="0" w:space="0" w:color="auto"/>
        <w:right w:val="none" w:sz="0" w:space="0" w:color="auto"/>
      </w:divBdr>
    </w:div>
    <w:div w:id="695159084">
      <w:bodyDiv w:val="1"/>
      <w:marLeft w:val="0"/>
      <w:marRight w:val="0"/>
      <w:marTop w:val="0"/>
      <w:marBottom w:val="0"/>
      <w:divBdr>
        <w:top w:val="none" w:sz="0" w:space="0" w:color="auto"/>
        <w:left w:val="none" w:sz="0" w:space="0" w:color="auto"/>
        <w:bottom w:val="none" w:sz="0" w:space="0" w:color="auto"/>
        <w:right w:val="none" w:sz="0" w:space="0" w:color="auto"/>
      </w:divBdr>
    </w:div>
    <w:div w:id="883441032">
      <w:bodyDiv w:val="1"/>
      <w:marLeft w:val="0"/>
      <w:marRight w:val="0"/>
      <w:marTop w:val="0"/>
      <w:marBottom w:val="0"/>
      <w:divBdr>
        <w:top w:val="none" w:sz="0" w:space="0" w:color="auto"/>
        <w:left w:val="none" w:sz="0" w:space="0" w:color="auto"/>
        <w:bottom w:val="none" w:sz="0" w:space="0" w:color="auto"/>
        <w:right w:val="none" w:sz="0" w:space="0" w:color="auto"/>
      </w:divBdr>
    </w:div>
    <w:div w:id="1399403259">
      <w:bodyDiv w:val="1"/>
      <w:marLeft w:val="0"/>
      <w:marRight w:val="0"/>
      <w:marTop w:val="0"/>
      <w:marBottom w:val="0"/>
      <w:divBdr>
        <w:top w:val="none" w:sz="0" w:space="0" w:color="auto"/>
        <w:left w:val="none" w:sz="0" w:space="0" w:color="auto"/>
        <w:bottom w:val="none" w:sz="0" w:space="0" w:color="auto"/>
        <w:right w:val="none" w:sz="0" w:space="0" w:color="auto"/>
      </w:divBdr>
    </w:div>
    <w:div w:id="1791851390">
      <w:bodyDiv w:val="1"/>
      <w:marLeft w:val="0"/>
      <w:marRight w:val="0"/>
      <w:marTop w:val="0"/>
      <w:marBottom w:val="0"/>
      <w:divBdr>
        <w:top w:val="none" w:sz="0" w:space="0" w:color="auto"/>
        <w:left w:val="none" w:sz="0" w:space="0" w:color="auto"/>
        <w:bottom w:val="none" w:sz="0" w:space="0" w:color="auto"/>
        <w:right w:val="none" w:sz="0" w:space="0" w:color="auto"/>
      </w:divBdr>
    </w:div>
    <w:div w:id="1828158759">
      <w:bodyDiv w:val="1"/>
      <w:marLeft w:val="0"/>
      <w:marRight w:val="0"/>
      <w:marTop w:val="0"/>
      <w:marBottom w:val="0"/>
      <w:divBdr>
        <w:top w:val="none" w:sz="0" w:space="0" w:color="auto"/>
        <w:left w:val="none" w:sz="0" w:space="0" w:color="auto"/>
        <w:bottom w:val="none" w:sz="0" w:space="0" w:color="auto"/>
        <w:right w:val="none" w:sz="0" w:space="0" w:color="auto"/>
      </w:divBdr>
    </w:div>
    <w:div w:id="1919056523">
      <w:bodyDiv w:val="1"/>
      <w:marLeft w:val="0"/>
      <w:marRight w:val="0"/>
      <w:marTop w:val="0"/>
      <w:marBottom w:val="0"/>
      <w:divBdr>
        <w:top w:val="none" w:sz="0" w:space="0" w:color="auto"/>
        <w:left w:val="none" w:sz="0" w:space="0" w:color="auto"/>
        <w:bottom w:val="none" w:sz="0" w:space="0" w:color="auto"/>
        <w:right w:val="none" w:sz="0" w:space="0" w:color="auto"/>
      </w:divBdr>
    </w:div>
    <w:div w:id="1927880900">
      <w:bodyDiv w:val="1"/>
      <w:marLeft w:val="0"/>
      <w:marRight w:val="0"/>
      <w:marTop w:val="0"/>
      <w:marBottom w:val="0"/>
      <w:divBdr>
        <w:top w:val="none" w:sz="0" w:space="0" w:color="auto"/>
        <w:left w:val="none" w:sz="0" w:space="0" w:color="auto"/>
        <w:bottom w:val="none" w:sz="0" w:space="0" w:color="auto"/>
        <w:right w:val="none" w:sz="0" w:space="0" w:color="auto"/>
      </w:divBdr>
    </w:div>
    <w:div w:id="1932424397">
      <w:bodyDiv w:val="1"/>
      <w:marLeft w:val="0"/>
      <w:marRight w:val="0"/>
      <w:marTop w:val="0"/>
      <w:marBottom w:val="0"/>
      <w:divBdr>
        <w:top w:val="none" w:sz="0" w:space="0" w:color="auto"/>
        <w:left w:val="none" w:sz="0" w:space="0" w:color="auto"/>
        <w:bottom w:val="none" w:sz="0" w:space="0" w:color="auto"/>
        <w:right w:val="none" w:sz="0" w:space="0" w:color="auto"/>
      </w:divBdr>
    </w:div>
    <w:div w:id="2034913152">
      <w:bodyDiv w:val="1"/>
      <w:marLeft w:val="0"/>
      <w:marRight w:val="0"/>
      <w:marTop w:val="0"/>
      <w:marBottom w:val="0"/>
      <w:divBdr>
        <w:top w:val="none" w:sz="0" w:space="0" w:color="auto"/>
        <w:left w:val="none" w:sz="0" w:space="0" w:color="auto"/>
        <w:bottom w:val="none" w:sz="0" w:space="0" w:color="auto"/>
        <w:right w:val="none" w:sz="0" w:space="0" w:color="auto"/>
      </w:divBdr>
    </w:div>
    <w:div w:id="2053453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otary.org/myrotary/en/document/global-outlook-rotarians-guide-rotary-foundation-funding-mode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undingmodel@rotary.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otary.org/myrotary/en/document/our-foundations-funding-model-presentation-slide-no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8B58FB072B3947917220A8DF3A5EF4" ma:contentTypeVersion="0" ma:contentTypeDescription="Create a new document." ma:contentTypeScope="" ma:versionID="7656db562a4c7ed1ee9344c0882768c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4674B-416E-422E-9D6D-D0DC373D9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0FF40D8-D739-42D5-9920-D6C7648E533E}">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D13A64F6-2D4C-4584-8F7C-E2037A2B5C62}">
  <ds:schemaRefs>
    <ds:schemaRef ds:uri="http://schemas.microsoft.com/sharepoint/v3/contenttype/forms"/>
  </ds:schemaRefs>
</ds:datastoreItem>
</file>

<file path=customXml/itemProps4.xml><?xml version="1.0" encoding="utf-8"?>
<ds:datastoreItem xmlns:ds="http://schemas.openxmlformats.org/officeDocument/2006/customXml" ds:itemID="{B21D827C-1DF5-47DF-A406-7B6C7B8E0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3333</Words>
  <Characters>17054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RSL Talking Points - for Oct/Nov 2013 Board and Trustee Meetings</vt:lpstr>
    </vt:vector>
  </TitlesOfParts>
  <Company>Rotary International</Company>
  <LinksUpToDate>false</LinksUpToDate>
  <CharactersWithSpaces>20347</CharactersWithSpaces>
  <SharedDoc>false</SharedDoc>
  <HLinks>
    <vt:vector size="6" baseType="variant">
      <vt:variant>
        <vt:i4>4980756</vt:i4>
      </vt:variant>
      <vt:variant>
        <vt:i4>2050</vt:i4>
      </vt:variant>
      <vt:variant>
        <vt:i4>1025</vt:i4>
      </vt:variant>
      <vt:variant>
        <vt:i4>1</vt:i4>
      </vt:variant>
      <vt:variant>
        <vt:lpwstr>StrategicPlan-background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RSL Talking Points - for Oct/Nov 2013 Board and Trustee Meetings</dc:title>
  <dc:creator>Angelika Mathur</dc:creator>
  <cp:lastModifiedBy>Walter Kronzer</cp:lastModifiedBy>
  <cp:revision>2</cp:revision>
  <cp:lastPrinted>2015-03-17T14:50:00Z</cp:lastPrinted>
  <dcterms:created xsi:type="dcterms:W3CDTF">2016-05-11T15:37:00Z</dcterms:created>
  <dcterms:modified xsi:type="dcterms:W3CDTF">2016-05-11T15:37:00Z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0x010100248B58FB072B3947917220A8DF3A5EF4</vt:lpwstr>
  </property>
  <property fmtid="{D5CDD505-2E9C-101B-9397-08002B2CF9AE}" pid="3" name="Doc Type">
    <vt:lpwstr>Implementation</vt:lpwstr>
  </property>
</Properties>
</file>