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48A" w:rsidRPr="007729DD" w:rsidRDefault="0010048A" w:rsidP="007729DD">
      <w:pPr>
        <w:spacing w:after="0" w:line="240" w:lineRule="auto"/>
        <w:jc w:val="center"/>
        <w:outlineLvl w:val="0"/>
        <w:rPr>
          <w:rFonts w:ascii="Calibri" w:eastAsia="Times New Roman" w:hAnsi="Calibri" w:cs="Arial"/>
          <w:b/>
          <w:kern w:val="36"/>
          <w:sz w:val="28"/>
          <w:szCs w:val="28"/>
          <w:lang w:val="en" w:eastAsia="en-AU"/>
        </w:rPr>
      </w:pPr>
      <w:bookmarkStart w:id="0" w:name="_GoBack"/>
      <w:bookmarkEnd w:id="0"/>
      <w:r w:rsidRPr="007729DD">
        <w:rPr>
          <w:rFonts w:ascii="Calibri" w:eastAsia="Times New Roman" w:hAnsi="Calibri" w:cs="Arial"/>
          <w:b/>
          <w:kern w:val="36"/>
          <w:sz w:val="28"/>
          <w:szCs w:val="28"/>
          <w:lang w:val="en" w:eastAsia="en-AU"/>
        </w:rPr>
        <w:t xml:space="preserve">Amusement </w:t>
      </w:r>
      <w:r w:rsidR="00871B16">
        <w:rPr>
          <w:rFonts w:ascii="Calibri" w:eastAsia="Times New Roman" w:hAnsi="Calibri" w:cs="Arial"/>
          <w:b/>
          <w:kern w:val="36"/>
          <w:sz w:val="28"/>
          <w:szCs w:val="28"/>
          <w:lang w:val="en" w:eastAsia="en-AU"/>
        </w:rPr>
        <w:t>D</w:t>
      </w:r>
      <w:r w:rsidRPr="007729DD">
        <w:rPr>
          <w:rFonts w:ascii="Calibri" w:eastAsia="Times New Roman" w:hAnsi="Calibri" w:cs="Arial"/>
          <w:b/>
          <w:kern w:val="36"/>
          <w:sz w:val="28"/>
          <w:szCs w:val="28"/>
          <w:lang w:val="en" w:eastAsia="en-AU"/>
        </w:rPr>
        <w:t xml:space="preserve">evices at </w:t>
      </w:r>
      <w:r w:rsidR="00871B16">
        <w:rPr>
          <w:rFonts w:ascii="Calibri" w:eastAsia="Times New Roman" w:hAnsi="Calibri" w:cs="Arial"/>
          <w:b/>
          <w:kern w:val="36"/>
          <w:sz w:val="28"/>
          <w:szCs w:val="28"/>
          <w:lang w:val="en" w:eastAsia="en-AU"/>
        </w:rPr>
        <w:t>C</w:t>
      </w:r>
      <w:r w:rsidRPr="007729DD">
        <w:rPr>
          <w:rFonts w:ascii="Calibri" w:eastAsia="Times New Roman" w:hAnsi="Calibri" w:cs="Arial"/>
          <w:b/>
          <w:kern w:val="36"/>
          <w:sz w:val="28"/>
          <w:szCs w:val="28"/>
          <w:lang w:val="en" w:eastAsia="en-AU"/>
        </w:rPr>
        <w:t xml:space="preserve">ommunity </w:t>
      </w:r>
      <w:r w:rsidR="00871B16">
        <w:rPr>
          <w:rFonts w:ascii="Calibri" w:eastAsia="Times New Roman" w:hAnsi="Calibri" w:cs="Arial"/>
          <w:b/>
          <w:kern w:val="36"/>
          <w:sz w:val="28"/>
          <w:szCs w:val="28"/>
          <w:lang w:val="en" w:eastAsia="en-AU"/>
        </w:rPr>
        <w:t>E</w:t>
      </w:r>
      <w:r w:rsidRPr="007729DD">
        <w:rPr>
          <w:rFonts w:ascii="Calibri" w:eastAsia="Times New Roman" w:hAnsi="Calibri" w:cs="Arial"/>
          <w:b/>
          <w:kern w:val="36"/>
          <w:sz w:val="28"/>
          <w:szCs w:val="28"/>
          <w:lang w:val="en" w:eastAsia="en-AU"/>
        </w:rPr>
        <w:t>vents</w:t>
      </w:r>
    </w:p>
    <w:p w:rsidR="0010048A" w:rsidRPr="007729DD" w:rsidRDefault="007A6B34" w:rsidP="007729DD">
      <w:pPr>
        <w:spacing w:after="0" w:line="240" w:lineRule="auto"/>
        <w:jc w:val="both"/>
        <w:rPr>
          <w:rFonts w:ascii="Calibri" w:eastAsia="Times New Roman" w:hAnsi="Calibri" w:cs="Arial"/>
          <w:b/>
          <w:color w:val="333333"/>
          <w:sz w:val="28"/>
          <w:szCs w:val="28"/>
          <w:lang w:val="en" w:eastAsia="en-AU"/>
        </w:rPr>
      </w:pPr>
      <w:hyperlink r:id="rId5" w:history="1">
        <w:r w:rsidR="0010048A" w:rsidRPr="007729DD">
          <w:rPr>
            <w:rFonts w:ascii="Calibri" w:eastAsia="Times New Roman" w:hAnsi="Calibri" w:cs="Arial"/>
            <w:b/>
            <w:bCs/>
            <w:color w:val="266673"/>
            <w:sz w:val="28"/>
            <w:szCs w:val="28"/>
            <w:lang w:val="en" w:eastAsia="en-AU"/>
          </w:rPr>
          <w:t xml:space="preserve">Minter Ellison </w:t>
        </w:r>
      </w:hyperlink>
    </w:p>
    <w:p w:rsidR="0010048A" w:rsidRPr="007729DD" w:rsidRDefault="0010048A" w:rsidP="007729DD">
      <w:pPr>
        <w:shd w:val="clear" w:color="auto" w:fill="EFEFEF"/>
        <w:spacing w:after="0" w:line="240" w:lineRule="auto"/>
        <w:jc w:val="both"/>
        <w:rPr>
          <w:rFonts w:ascii="Calibri" w:eastAsia="Times New Roman" w:hAnsi="Calibri" w:cs="Arial"/>
          <w:color w:val="333333"/>
          <w:lang w:val="en" w:eastAsia="en-AU"/>
        </w:rPr>
      </w:pPr>
    </w:p>
    <w:p w:rsidR="007729DD" w:rsidRDefault="007729DD" w:rsidP="007729DD">
      <w:pPr>
        <w:spacing w:after="0" w:line="240" w:lineRule="auto"/>
        <w:jc w:val="both"/>
        <w:rPr>
          <w:rFonts w:ascii="Calibri" w:eastAsia="Times New Roman" w:hAnsi="Calibri" w:cs="Arial"/>
          <w:b/>
          <w:bCs/>
          <w:lang w:val="en" w:eastAsia="en-AU"/>
        </w:rPr>
      </w:pPr>
    </w:p>
    <w:p w:rsidR="0010048A" w:rsidRPr="007729DD" w:rsidRDefault="0010048A" w:rsidP="007729DD">
      <w:pPr>
        <w:spacing w:after="0" w:line="240" w:lineRule="auto"/>
        <w:jc w:val="both"/>
        <w:rPr>
          <w:rFonts w:ascii="Calibri" w:eastAsia="Times New Roman" w:hAnsi="Calibri" w:cs="Arial"/>
          <w:lang w:val="en" w:eastAsia="en-AU"/>
        </w:rPr>
      </w:pPr>
      <w:r w:rsidRPr="007729DD">
        <w:rPr>
          <w:rFonts w:ascii="Calibri" w:eastAsia="Times New Roman" w:hAnsi="Calibri" w:cs="Arial"/>
          <w:b/>
          <w:bCs/>
          <w:lang w:val="en" w:eastAsia="en-AU"/>
        </w:rPr>
        <w:t>Australia</w:t>
      </w:r>
      <w:r w:rsidRPr="007729DD">
        <w:rPr>
          <w:rFonts w:ascii="Calibri" w:eastAsia="Times New Roman" w:hAnsi="Calibri" w:cs="Arial"/>
          <w:lang w:val="en" w:eastAsia="en-AU"/>
        </w:rPr>
        <w:t xml:space="preserve"> December 22 2016 </w:t>
      </w:r>
    </w:p>
    <w:p w:rsidR="007729DD" w:rsidRDefault="007729DD" w:rsidP="007729DD">
      <w:pPr>
        <w:spacing w:after="0" w:line="240" w:lineRule="auto"/>
        <w:jc w:val="both"/>
        <w:rPr>
          <w:rFonts w:ascii="Calibri" w:eastAsia="Times New Roman" w:hAnsi="Calibri" w:cs="Arial"/>
          <w:lang w:val="en" w:eastAsia="en-AU"/>
        </w:rPr>
      </w:pPr>
    </w:p>
    <w:p w:rsidR="0010048A" w:rsidRPr="007729DD" w:rsidRDefault="0010048A" w:rsidP="007729DD">
      <w:pPr>
        <w:spacing w:after="0" w:line="240" w:lineRule="auto"/>
        <w:jc w:val="both"/>
        <w:rPr>
          <w:rFonts w:ascii="Calibri" w:eastAsia="Times New Roman" w:hAnsi="Calibri" w:cs="Arial"/>
          <w:lang w:val="en" w:eastAsia="en-AU"/>
        </w:rPr>
      </w:pPr>
      <w:r w:rsidRPr="007729DD">
        <w:rPr>
          <w:rFonts w:ascii="Calibri" w:eastAsia="Times New Roman" w:hAnsi="Calibri" w:cs="Arial"/>
          <w:lang w:val="en" w:eastAsia="en-AU"/>
        </w:rPr>
        <w:t>Following the incident at Dreamworld in October 2016, Australian regulators have been conducting audits of amusement devices at theme parks and, of course, amusement ride safety is at the forefront of each regulators' agenda.</w:t>
      </w:r>
    </w:p>
    <w:p w:rsidR="007729DD" w:rsidRDefault="007729DD" w:rsidP="007729DD">
      <w:pPr>
        <w:spacing w:after="0" w:line="240" w:lineRule="auto"/>
        <w:jc w:val="both"/>
        <w:rPr>
          <w:rFonts w:ascii="Calibri" w:eastAsia="Times New Roman" w:hAnsi="Calibri" w:cs="Arial"/>
          <w:lang w:val="en" w:eastAsia="en-AU"/>
        </w:rPr>
      </w:pPr>
    </w:p>
    <w:p w:rsidR="0010048A" w:rsidRPr="007729DD" w:rsidRDefault="0010048A" w:rsidP="007729DD">
      <w:pPr>
        <w:spacing w:after="0" w:line="240" w:lineRule="auto"/>
        <w:jc w:val="both"/>
        <w:rPr>
          <w:rFonts w:ascii="Calibri" w:eastAsia="Times New Roman" w:hAnsi="Calibri" w:cs="Arial"/>
          <w:lang w:val="en" w:eastAsia="en-AU"/>
        </w:rPr>
      </w:pPr>
      <w:r w:rsidRPr="007729DD">
        <w:rPr>
          <w:rFonts w:ascii="Calibri" w:eastAsia="Times New Roman" w:hAnsi="Calibri" w:cs="Arial"/>
          <w:lang w:val="en" w:eastAsia="en-AU"/>
        </w:rPr>
        <w:t>All organisations which come into contact with amusement rides (including outside the theme park industry) must have a broad understanding of the regulatory regime in relation to amusement devices. For example, this is an issue that may impact church or school organisations that hold fetes or other organisations who run community events and engage amusement ride contractors.</w:t>
      </w:r>
    </w:p>
    <w:p w:rsidR="007729DD" w:rsidRDefault="007729DD" w:rsidP="007729DD">
      <w:pPr>
        <w:spacing w:after="0" w:line="240" w:lineRule="auto"/>
        <w:jc w:val="both"/>
        <w:rPr>
          <w:rFonts w:ascii="Calibri" w:eastAsia="Times New Roman" w:hAnsi="Calibri" w:cs="Arial"/>
          <w:lang w:val="en" w:eastAsia="en-AU"/>
        </w:rPr>
      </w:pPr>
    </w:p>
    <w:p w:rsidR="0010048A" w:rsidRPr="007729DD" w:rsidRDefault="0010048A" w:rsidP="007729DD">
      <w:pPr>
        <w:spacing w:after="0" w:line="240" w:lineRule="auto"/>
        <w:jc w:val="both"/>
        <w:rPr>
          <w:rFonts w:ascii="Calibri" w:eastAsia="Times New Roman" w:hAnsi="Calibri" w:cs="Arial"/>
          <w:lang w:val="en" w:eastAsia="en-AU"/>
        </w:rPr>
      </w:pPr>
      <w:r w:rsidRPr="007729DD">
        <w:rPr>
          <w:rFonts w:ascii="Calibri" w:eastAsia="Times New Roman" w:hAnsi="Calibri" w:cs="Arial"/>
          <w:lang w:val="en" w:eastAsia="en-AU"/>
        </w:rPr>
        <w:t>Running a community event presents a range of particular WHS challenges, including contractor management and managing the presence of children and the elderly. Although organisations engaging amusement ride contractors are not experts in relation to those devices, they continue to have an obligation to ensure health and safety, so far as reasonably practicable, for matters within their control. As we've seen, it's not enough for a PCBU to engage a contractor with expertise in an area and for the PCBU to rely on that expertise - the courts have found the PCBU still has WHS obligations under the legislation.</w:t>
      </w:r>
    </w:p>
    <w:p w:rsidR="007729DD" w:rsidRDefault="007729DD" w:rsidP="007729DD">
      <w:pPr>
        <w:spacing w:after="0" w:line="240" w:lineRule="auto"/>
        <w:jc w:val="both"/>
        <w:rPr>
          <w:rFonts w:ascii="Calibri" w:eastAsia="Times New Roman" w:hAnsi="Calibri" w:cs="Arial"/>
          <w:lang w:val="en" w:eastAsia="en-AU"/>
        </w:rPr>
      </w:pPr>
    </w:p>
    <w:p w:rsidR="0010048A" w:rsidRDefault="0010048A" w:rsidP="007729DD">
      <w:pPr>
        <w:spacing w:after="0" w:line="240" w:lineRule="auto"/>
        <w:jc w:val="both"/>
        <w:rPr>
          <w:rFonts w:ascii="Calibri" w:eastAsia="Times New Roman" w:hAnsi="Calibri" w:cs="Arial"/>
          <w:lang w:val="en" w:eastAsia="en-AU"/>
        </w:rPr>
      </w:pPr>
      <w:r w:rsidRPr="007729DD">
        <w:rPr>
          <w:rFonts w:ascii="Calibri" w:eastAsia="Times New Roman" w:hAnsi="Calibri" w:cs="Arial"/>
          <w:lang w:val="en" w:eastAsia="en-AU"/>
        </w:rPr>
        <w:t>In addition to the usual steps required as part of contractor management, organisations engaging amusement ride operators should:</w:t>
      </w:r>
    </w:p>
    <w:p w:rsidR="007729DD" w:rsidRDefault="007729DD" w:rsidP="007729DD">
      <w:pPr>
        <w:spacing w:after="0" w:line="240" w:lineRule="auto"/>
        <w:jc w:val="both"/>
        <w:rPr>
          <w:rFonts w:ascii="Calibri" w:eastAsia="Times New Roman" w:hAnsi="Calibri" w:cs="Arial"/>
          <w:lang w:val="en" w:eastAsia="en-AU"/>
        </w:rPr>
      </w:pPr>
    </w:p>
    <w:tbl>
      <w:tblPr>
        <w:tblStyle w:val="TableGrid"/>
        <w:tblW w:w="5000" w:type="pct"/>
        <w:tblLook w:val="04A0" w:firstRow="1" w:lastRow="0" w:firstColumn="1" w:lastColumn="0" w:noHBand="0" w:noVBand="1"/>
      </w:tblPr>
      <w:tblGrid>
        <w:gridCol w:w="787"/>
        <w:gridCol w:w="819"/>
        <w:gridCol w:w="7636"/>
      </w:tblGrid>
      <w:tr w:rsidR="007729DD" w:rsidTr="007729DD">
        <w:trPr>
          <w:trHeight w:val="454"/>
        </w:trPr>
        <w:tc>
          <w:tcPr>
            <w:tcW w:w="426" w:type="pct"/>
            <w:vMerge w:val="restart"/>
            <w:vAlign w:val="center"/>
          </w:tcPr>
          <w:p w:rsidR="007729DD" w:rsidRDefault="007729DD" w:rsidP="007729DD">
            <w:pPr>
              <w:jc w:val="center"/>
              <w:rPr>
                <w:rFonts w:ascii="Calibri" w:eastAsia="Times New Roman" w:hAnsi="Calibri" w:cs="Arial"/>
                <w:lang w:val="en" w:eastAsia="en-AU"/>
              </w:rPr>
            </w:pPr>
            <w:r>
              <w:rPr>
                <w:rFonts w:ascii="Calibri" w:eastAsia="Times New Roman" w:hAnsi="Calibri" w:cs="Arial"/>
                <w:lang w:val="en" w:eastAsia="en-AU"/>
              </w:rPr>
              <w:t>1)</w:t>
            </w:r>
          </w:p>
        </w:tc>
        <w:tc>
          <w:tcPr>
            <w:tcW w:w="443" w:type="pct"/>
            <w:vAlign w:val="center"/>
          </w:tcPr>
          <w:p w:rsidR="007729DD" w:rsidRDefault="007729DD" w:rsidP="007729DD">
            <w:pPr>
              <w:rPr>
                <w:rFonts w:ascii="Calibri" w:eastAsia="Times New Roman" w:hAnsi="Calibri" w:cs="Arial"/>
                <w:lang w:val="en" w:eastAsia="en-AU"/>
              </w:rPr>
            </w:pPr>
          </w:p>
        </w:tc>
        <w:tc>
          <w:tcPr>
            <w:tcW w:w="4131" w:type="pct"/>
            <w:vAlign w:val="center"/>
          </w:tcPr>
          <w:p w:rsidR="007729DD" w:rsidRDefault="007729DD" w:rsidP="007729DD">
            <w:pPr>
              <w:jc w:val="both"/>
              <w:rPr>
                <w:rFonts w:ascii="Calibri" w:eastAsia="Times New Roman" w:hAnsi="Calibri" w:cs="Arial"/>
                <w:lang w:val="en" w:eastAsia="en-AU"/>
              </w:rPr>
            </w:pPr>
            <w:r>
              <w:rPr>
                <w:rFonts w:ascii="Calibri" w:eastAsia="Times New Roman" w:hAnsi="Calibri" w:cs="Arial"/>
                <w:lang w:val="en" w:eastAsia="en-AU"/>
              </w:rPr>
              <w:t>R</w:t>
            </w:r>
            <w:r w:rsidRPr="007729DD">
              <w:rPr>
                <w:rFonts w:ascii="Calibri" w:eastAsia="Times New Roman" w:hAnsi="Calibri" w:cs="Arial"/>
                <w:lang w:val="en" w:eastAsia="en-AU"/>
              </w:rPr>
              <w:t xml:space="preserve">equest specific amusement device information including the: </w:t>
            </w:r>
          </w:p>
        </w:tc>
      </w:tr>
      <w:tr w:rsidR="007729DD" w:rsidTr="007729DD">
        <w:trPr>
          <w:trHeight w:val="454"/>
        </w:trPr>
        <w:tc>
          <w:tcPr>
            <w:tcW w:w="426" w:type="pct"/>
            <w:vMerge/>
            <w:vAlign w:val="center"/>
          </w:tcPr>
          <w:p w:rsidR="007729DD" w:rsidRDefault="007729DD" w:rsidP="007729DD">
            <w:pPr>
              <w:jc w:val="center"/>
              <w:rPr>
                <w:rFonts w:ascii="Calibri" w:eastAsia="Times New Roman" w:hAnsi="Calibri" w:cs="Arial"/>
                <w:lang w:val="en" w:eastAsia="en-AU"/>
              </w:rPr>
            </w:pPr>
          </w:p>
        </w:tc>
        <w:tc>
          <w:tcPr>
            <w:tcW w:w="443" w:type="pct"/>
            <w:vAlign w:val="center"/>
          </w:tcPr>
          <w:p w:rsidR="007729DD" w:rsidRDefault="007729DD" w:rsidP="007729DD">
            <w:pPr>
              <w:rPr>
                <w:rFonts w:ascii="Calibri" w:eastAsia="Times New Roman" w:hAnsi="Calibri" w:cs="Arial"/>
                <w:lang w:val="en" w:eastAsia="en-AU"/>
              </w:rPr>
            </w:pPr>
            <w:r>
              <w:rPr>
                <w:rFonts w:ascii="Calibri" w:eastAsia="Times New Roman" w:hAnsi="Calibri" w:cs="Arial"/>
                <w:lang w:val="en" w:eastAsia="en-AU"/>
              </w:rPr>
              <w:t>(a)</w:t>
            </w:r>
          </w:p>
        </w:tc>
        <w:tc>
          <w:tcPr>
            <w:tcW w:w="4131" w:type="pct"/>
            <w:vAlign w:val="center"/>
          </w:tcPr>
          <w:p w:rsidR="007729DD" w:rsidRPr="004555FC" w:rsidRDefault="007729DD" w:rsidP="007729DD">
            <w:pPr>
              <w:rPr>
                <w:rFonts w:ascii="Calibri" w:eastAsia="Times New Roman" w:hAnsi="Calibri" w:cs="Arial"/>
                <w:lang w:val="en"/>
              </w:rPr>
            </w:pPr>
            <w:r>
              <w:rPr>
                <w:rFonts w:ascii="Calibri" w:eastAsia="Times New Roman" w:hAnsi="Calibri" w:cs="Arial"/>
                <w:lang w:val="en" w:eastAsia="en-AU"/>
              </w:rPr>
              <w:t>A</w:t>
            </w:r>
            <w:r w:rsidRPr="004555FC">
              <w:rPr>
                <w:rFonts w:ascii="Calibri" w:eastAsia="Times New Roman" w:hAnsi="Calibri" w:cs="Arial"/>
                <w:lang w:val="en" w:eastAsia="en-AU"/>
              </w:rPr>
              <w:t>musement device registration with the relevant regulator</w:t>
            </w:r>
          </w:p>
        </w:tc>
      </w:tr>
      <w:tr w:rsidR="007729DD" w:rsidTr="007729DD">
        <w:trPr>
          <w:trHeight w:val="454"/>
        </w:trPr>
        <w:tc>
          <w:tcPr>
            <w:tcW w:w="426" w:type="pct"/>
            <w:vMerge/>
            <w:vAlign w:val="center"/>
          </w:tcPr>
          <w:p w:rsidR="007729DD" w:rsidRDefault="007729DD" w:rsidP="007729DD">
            <w:pPr>
              <w:jc w:val="center"/>
              <w:rPr>
                <w:rFonts w:ascii="Calibri" w:eastAsia="Times New Roman" w:hAnsi="Calibri" w:cs="Arial"/>
                <w:lang w:val="en" w:eastAsia="en-AU"/>
              </w:rPr>
            </w:pPr>
          </w:p>
        </w:tc>
        <w:tc>
          <w:tcPr>
            <w:tcW w:w="443" w:type="pct"/>
            <w:vAlign w:val="center"/>
          </w:tcPr>
          <w:p w:rsidR="007729DD" w:rsidRDefault="007729DD" w:rsidP="007729DD">
            <w:pPr>
              <w:rPr>
                <w:rFonts w:ascii="Calibri" w:eastAsia="Times New Roman" w:hAnsi="Calibri" w:cs="Arial"/>
                <w:lang w:val="en" w:eastAsia="en-AU"/>
              </w:rPr>
            </w:pPr>
            <w:r>
              <w:rPr>
                <w:rFonts w:ascii="Calibri" w:eastAsia="Times New Roman" w:hAnsi="Calibri" w:cs="Arial"/>
                <w:lang w:val="en" w:eastAsia="en-AU"/>
              </w:rPr>
              <w:t>(b)</w:t>
            </w:r>
          </w:p>
        </w:tc>
        <w:tc>
          <w:tcPr>
            <w:tcW w:w="4131" w:type="pct"/>
            <w:vAlign w:val="center"/>
          </w:tcPr>
          <w:p w:rsidR="007729DD" w:rsidRPr="004555FC" w:rsidRDefault="007729DD" w:rsidP="007729DD">
            <w:pPr>
              <w:rPr>
                <w:rFonts w:ascii="Calibri" w:eastAsia="Times New Roman" w:hAnsi="Calibri" w:cs="Arial"/>
                <w:lang w:val="en"/>
              </w:rPr>
            </w:pPr>
            <w:r>
              <w:rPr>
                <w:rFonts w:ascii="Calibri" w:eastAsia="Times New Roman" w:hAnsi="Calibri" w:cs="Arial"/>
                <w:lang w:val="en" w:eastAsia="en-AU"/>
              </w:rPr>
              <w:t>L</w:t>
            </w:r>
            <w:r w:rsidRPr="004555FC">
              <w:rPr>
                <w:rFonts w:ascii="Calibri" w:eastAsia="Times New Roman" w:hAnsi="Calibri" w:cs="Arial"/>
                <w:lang w:val="en" w:eastAsia="en-AU"/>
              </w:rPr>
              <w:t>og book for inspection and maintenance of the ride</w:t>
            </w:r>
          </w:p>
        </w:tc>
      </w:tr>
      <w:tr w:rsidR="007729DD" w:rsidTr="007729DD">
        <w:trPr>
          <w:trHeight w:val="454"/>
        </w:trPr>
        <w:tc>
          <w:tcPr>
            <w:tcW w:w="426" w:type="pct"/>
            <w:vMerge/>
            <w:vAlign w:val="center"/>
          </w:tcPr>
          <w:p w:rsidR="007729DD" w:rsidRDefault="007729DD" w:rsidP="007729DD">
            <w:pPr>
              <w:jc w:val="center"/>
              <w:rPr>
                <w:rFonts w:ascii="Calibri" w:eastAsia="Times New Roman" w:hAnsi="Calibri" w:cs="Arial"/>
                <w:lang w:val="en" w:eastAsia="en-AU"/>
              </w:rPr>
            </w:pPr>
          </w:p>
        </w:tc>
        <w:tc>
          <w:tcPr>
            <w:tcW w:w="443" w:type="pct"/>
            <w:vAlign w:val="center"/>
          </w:tcPr>
          <w:p w:rsidR="007729DD" w:rsidRDefault="007729DD" w:rsidP="007729DD">
            <w:pPr>
              <w:rPr>
                <w:rFonts w:ascii="Calibri" w:eastAsia="Times New Roman" w:hAnsi="Calibri" w:cs="Arial"/>
                <w:lang w:val="en" w:eastAsia="en-AU"/>
              </w:rPr>
            </w:pPr>
            <w:r>
              <w:rPr>
                <w:rFonts w:ascii="Calibri" w:eastAsia="Times New Roman" w:hAnsi="Calibri" w:cs="Arial"/>
                <w:lang w:val="en" w:eastAsia="en-AU"/>
              </w:rPr>
              <w:t>(c)</w:t>
            </w:r>
          </w:p>
        </w:tc>
        <w:tc>
          <w:tcPr>
            <w:tcW w:w="4131" w:type="pct"/>
            <w:vAlign w:val="center"/>
          </w:tcPr>
          <w:p w:rsidR="007729DD" w:rsidRPr="004555FC" w:rsidRDefault="007729DD" w:rsidP="007729DD">
            <w:pPr>
              <w:rPr>
                <w:rFonts w:ascii="Calibri" w:eastAsia="Times New Roman" w:hAnsi="Calibri" w:cs="Arial"/>
                <w:lang w:val="en"/>
              </w:rPr>
            </w:pPr>
            <w:r>
              <w:rPr>
                <w:rFonts w:ascii="Calibri" w:eastAsia="Times New Roman" w:hAnsi="Calibri" w:cs="Arial"/>
                <w:lang w:val="en" w:eastAsia="en-AU"/>
              </w:rPr>
              <w:t>E</w:t>
            </w:r>
            <w:r w:rsidRPr="004555FC">
              <w:rPr>
                <w:rFonts w:ascii="Calibri" w:eastAsia="Times New Roman" w:hAnsi="Calibri" w:cs="Arial"/>
                <w:lang w:val="en" w:eastAsia="en-AU"/>
              </w:rPr>
              <w:t>mergency plan for the ride</w:t>
            </w:r>
          </w:p>
        </w:tc>
      </w:tr>
      <w:tr w:rsidR="007729DD" w:rsidTr="007729DD">
        <w:trPr>
          <w:trHeight w:val="454"/>
        </w:trPr>
        <w:tc>
          <w:tcPr>
            <w:tcW w:w="426" w:type="pct"/>
            <w:vAlign w:val="center"/>
          </w:tcPr>
          <w:p w:rsidR="007729DD" w:rsidRDefault="007729DD" w:rsidP="007729DD">
            <w:pPr>
              <w:jc w:val="center"/>
              <w:rPr>
                <w:rFonts w:ascii="Calibri" w:eastAsia="Times New Roman" w:hAnsi="Calibri" w:cs="Arial"/>
                <w:lang w:val="en" w:eastAsia="en-AU"/>
              </w:rPr>
            </w:pPr>
            <w:r>
              <w:rPr>
                <w:rFonts w:ascii="Calibri" w:eastAsia="Times New Roman" w:hAnsi="Calibri" w:cs="Arial"/>
                <w:lang w:val="en" w:eastAsia="en-AU"/>
              </w:rPr>
              <w:t>2)</w:t>
            </w:r>
          </w:p>
        </w:tc>
        <w:tc>
          <w:tcPr>
            <w:tcW w:w="443" w:type="pct"/>
            <w:vAlign w:val="center"/>
          </w:tcPr>
          <w:p w:rsidR="007729DD" w:rsidRDefault="007729DD" w:rsidP="00682012">
            <w:pPr>
              <w:rPr>
                <w:rFonts w:ascii="Calibri" w:eastAsia="Times New Roman" w:hAnsi="Calibri" w:cs="Arial"/>
                <w:lang w:val="en" w:eastAsia="en-AU"/>
              </w:rPr>
            </w:pPr>
          </w:p>
        </w:tc>
        <w:tc>
          <w:tcPr>
            <w:tcW w:w="4131" w:type="pct"/>
            <w:vAlign w:val="center"/>
          </w:tcPr>
          <w:p w:rsidR="007729DD" w:rsidRDefault="007729DD" w:rsidP="00682012">
            <w:pPr>
              <w:jc w:val="both"/>
              <w:rPr>
                <w:rFonts w:ascii="Calibri" w:eastAsia="Times New Roman" w:hAnsi="Calibri" w:cs="Arial"/>
                <w:lang w:val="en" w:eastAsia="en-AU"/>
              </w:rPr>
            </w:pPr>
            <w:r>
              <w:rPr>
                <w:rFonts w:ascii="Calibri" w:eastAsia="Times New Roman" w:hAnsi="Calibri" w:cs="Arial"/>
                <w:lang w:val="en" w:eastAsia="en-AU"/>
              </w:rPr>
              <w:t>C</w:t>
            </w:r>
            <w:r w:rsidRPr="007729DD">
              <w:rPr>
                <w:rFonts w:ascii="Calibri" w:eastAsia="Times New Roman" w:hAnsi="Calibri" w:cs="Arial"/>
                <w:lang w:val="en" w:eastAsia="en-AU"/>
              </w:rPr>
              <w:t>onduct its own due diligence including by independently confirming the registration with the relevant regulator and using ride operators who have been used by other organisations previously</w:t>
            </w:r>
            <w:r w:rsidR="0014085F">
              <w:rPr>
                <w:rFonts w:ascii="Calibri" w:eastAsia="Times New Roman" w:hAnsi="Calibri" w:cs="Arial"/>
                <w:lang w:val="en" w:eastAsia="en-AU"/>
              </w:rPr>
              <w:t>.</w:t>
            </w:r>
          </w:p>
        </w:tc>
      </w:tr>
      <w:tr w:rsidR="007729DD" w:rsidTr="007729DD">
        <w:trPr>
          <w:trHeight w:val="454"/>
        </w:trPr>
        <w:tc>
          <w:tcPr>
            <w:tcW w:w="426" w:type="pct"/>
            <w:vAlign w:val="center"/>
          </w:tcPr>
          <w:p w:rsidR="007729DD" w:rsidRDefault="007729DD" w:rsidP="007729DD">
            <w:pPr>
              <w:jc w:val="center"/>
              <w:rPr>
                <w:rFonts w:ascii="Calibri" w:eastAsia="Times New Roman" w:hAnsi="Calibri" w:cs="Arial"/>
                <w:lang w:val="en" w:eastAsia="en-AU"/>
              </w:rPr>
            </w:pPr>
            <w:r>
              <w:rPr>
                <w:rFonts w:ascii="Calibri" w:eastAsia="Times New Roman" w:hAnsi="Calibri" w:cs="Arial"/>
                <w:lang w:val="en" w:eastAsia="en-AU"/>
              </w:rPr>
              <w:t>3)</w:t>
            </w:r>
          </w:p>
        </w:tc>
        <w:tc>
          <w:tcPr>
            <w:tcW w:w="443" w:type="pct"/>
            <w:vAlign w:val="center"/>
          </w:tcPr>
          <w:p w:rsidR="007729DD" w:rsidRDefault="007729DD" w:rsidP="007729DD">
            <w:pPr>
              <w:rPr>
                <w:rFonts w:ascii="Calibri" w:eastAsia="Times New Roman" w:hAnsi="Calibri" w:cs="Arial"/>
                <w:lang w:val="en" w:eastAsia="en-AU"/>
              </w:rPr>
            </w:pPr>
          </w:p>
        </w:tc>
        <w:tc>
          <w:tcPr>
            <w:tcW w:w="4131" w:type="pct"/>
            <w:vAlign w:val="center"/>
          </w:tcPr>
          <w:p w:rsidR="007729DD" w:rsidRDefault="007729DD" w:rsidP="007729DD">
            <w:pPr>
              <w:jc w:val="both"/>
              <w:rPr>
                <w:rFonts w:ascii="Calibri" w:eastAsia="Times New Roman" w:hAnsi="Calibri" w:cs="Arial"/>
                <w:lang w:val="en" w:eastAsia="en-AU"/>
              </w:rPr>
            </w:pPr>
            <w:r>
              <w:rPr>
                <w:rFonts w:ascii="Calibri" w:eastAsia="Times New Roman" w:hAnsi="Calibri" w:cs="Arial"/>
                <w:lang w:val="en" w:eastAsia="en-AU"/>
              </w:rPr>
              <w:t>E</w:t>
            </w:r>
            <w:r w:rsidRPr="007729DD">
              <w:rPr>
                <w:rFonts w:ascii="Calibri" w:eastAsia="Times New Roman" w:hAnsi="Calibri" w:cs="Arial"/>
                <w:lang w:val="en" w:eastAsia="en-AU"/>
              </w:rPr>
              <w:t>nsure the contractor has public liability insurance</w:t>
            </w:r>
          </w:p>
        </w:tc>
      </w:tr>
      <w:tr w:rsidR="007729DD" w:rsidTr="007729DD">
        <w:trPr>
          <w:trHeight w:val="454"/>
        </w:trPr>
        <w:tc>
          <w:tcPr>
            <w:tcW w:w="426" w:type="pct"/>
            <w:vMerge w:val="restart"/>
            <w:vAlign w:val="center"/>
          </w:tcPr>
          <w:p w:rsidR="007729DD" w:rsidRDefault="007729DD" w:rsidP="007729DD">
            <w:pPr>
              <w:jc w:val="center"/>
              <w:rPr>
                <w:rFonts w:ascii="Calibri" w:eastAsia="Times New Roman" w:hAnsi="Calibri" w:cs="Arial"/>
                <w:lang w:val="en" w:eastAsia="en-AU"/>
              </w:rPr>
            </w:pPr>
            <w:r>
              <w:rPr>
                <w:rFonts w:ascii="Calibri" w:eastAsia="Times New Roman" w:hAnsi="Calibri" w:cs="Arial"/>
                <w:lang w:val="en" w:eastAsia="en-AU"/>
              </w:rPr>
              <w:t>4)</w:t>
            </w:r>
          </w:p>
        </w:tc>
        <w:tc>
          <w:tcPr>
            <w:tcW w:w="443" w:type="pct"/>
            <w:vAlign w:val="center"/>
          </w:tcPr>
          <w:p w:rsidR="007729DD" w:rsidRDefault="007729DD" w:rsidP="007729DD">
            <w:pPr>
              <w:rPr>
                <w:rFonts w:ascii="Calibri" w:eastAsia="Times New Roman" w:hAnsi="Calibri" w:cs="Arial"/>
                <w:lang w:val="en" w:eastAsia="en-AU"/>
              </w:rPr>
            </w:pPr>
          </w:p>
        </w:tc>
        <w:tc>
          <w:tcPr>
            <w:tcW w:w="4131" w:type="pct"/>
            <w:vAlign w:val="center"/>
          </w:tcPr>
          <w:p w:rsidR="007729DD" w:rsidRDefault="007729DD" w:rsidP="007729DD">
            <w:pPr>
              <w:jc w:val="both"/>
              <w:rPr>
                <w:rFonts w:ascii="Calibri" w:eastAsia="Times New Roman" w:hAnsi="Calibri" w:cs="Arial"/>
                <w:lang w:val="en" w:eastAsia="en-AU"/>
              </w:rPr>
            </w:pPr>
            <w:r>
              <w:rPr>
                <w:rFonts w:ascii="Calibri" w:eastAsia="Times New Roman" w:hAnsi="Calibri" w:cs="Arial"/>
                <w:lang w:val="en" w:eastAsia="en-AU"/>
              </w:rPr>
              <w:t>B</w:t>
            </w:r>
            <w:r w:rsidRPr="007729DD">
              <w:rPr>
                <w:rFonts w:ascii="Calibri" w:eastAsia="Times New Roman" w:hAnsi="Calibri" w:cs="Arial"/>
                <w:lang w:val="en" w:eastAsia="en-AU"/>
              </w:rPr>
              <w:t xml:space="preserve">efore allowing a ride to operate: </w:t>
            </w:r>
          </w:p>
        </w:tc>
      </w:tr>
      <w:tr w:rsidR="007729DD" w:rsidTr="007729DD">
        <w:trPr>
          <w:trHeight w:val="454"/>
        </w:trPr>
        <w:tc>
          <w:tcPr>
            <w:tcW w:w="426" w:type="pct"/>
            <w:vMerge/>
            <w:vAlign w:val="center"/>
          </w:tcPr>
          <w:p w:rsidR="007729DD" w:rsidRDefault="007729DD" w:rsidP="007729DD">
            <w:pPr>
              <w:jc w:val="center"/>
              <w:rPr>
                <w:rFonts w:ascii="Calibri" w:eastAsia="Times New Roman" w:hAnsi="Calibri" w:cs="Arial"/>
                <w:lang w:val="en" w:eastAsia="en-AU"/>
              </w:rPr>
            </w:pPr>
          </w:p>
        </w:tc>
        <w:tc>
          <w:tcPr>
            <w:tcW w:w="443" w:type="pct"/>
            <w:vAlign w:val="center"/>
          </w:tcPr>
          <w:p w:rsidR="007729DD" w:rsidRDefault="007729DD" w:rsidP="00682012">
            <w:pPr>
              <w:rPr>
                <w:rFonts w:ascii="Calibri" w:eastAsia="Times New Roman" w:hAnsi="Calibri" w:cs="Arial"/>
                <w:lang w:val="en" w:eastAsia="en-AU"/>
              </w:rPr>
            </w:pPr>
            <w:r>
              <w:rPr>
                <w:rFonts w:ascii="Calibri" w:eastAsia="Times New Roman" w:hAnsi="Calibri" w:cs="Arial"/>
                <w:lang w:val="en" w:eastAsia="en-AU"/>
              </w:rPr>
              <w:t>(a)</w:t>
            </w:r>
          </w:p>
        </w:tc>
        <w:tc>
          <w:tcPr>
            <w:tcW w:w="4131" w:type="pct"/>
            <w:vAlign w:val="center"/>
          </w:tcPr>
          <w:p w:rsidR="007729DD" w:rsidRPr="00DE33AD" w:rsidRDefault="007729DD" w:rsidP="007729DD">
            <w:pPr>
              <w:ind w:left="34"/>
              <w:rPr>
                <w:rFonts w:ascii="Calibri" w:eastAsia="Times New Roman" w:hAnsi="Calibri" w:cs="Arial"/>
                <w:lang w:val="en"/>
              </w:rPr>
            </w:pPr>
            <w:r>
              <w:rPr>
                <w:rFonts w:ascii="Calibri" w:eastAsia="Times New Roman" w:hAnsi="Calibri" w:cs="Arial"/>
                <w:lang w:val="en" w:eastAsia="en-AU"/>
              </w:rPr>
              <w:t>C</w:t>
            </w:r>
            <w:r w:rsidRPr="00DE33AD">
              <w:rPr>
                <w:rFonts w:ascii="Calibri" w:eastAsia="Times New Roman" w:hAnsi="Calibri" w:cs="Arial"/>
                <w:lang w:val="en" w:eastAsia="en-AU"/>
              </w:rPr>
              <w:t>onduct a high level risk assessment</w:t>
            </w:r>
          </w:p>
        </w:tc>
      </w:tr>
      <w:tr w:rsidR="007729DD" w:rsidTr="007729DD">
        <w:trPr>
          <w:trHeight w:val="454"/>
        </w:trPr>
        <w:tc>
          <w:tcPr>
            <w:tcW w:w="426" w:type="pct"/>
            <w:vMerge/>
            <w:vAlign w:val="center"/>
          </w:tcPr>
          <w:p w:rsidR="007729DD" w:rsidRDefault="007729DD" w:rsidP="007729DD">
            <w:pPr>
              <w:jc w:val="center"/>
              <w:rPr>
                <w:rFonts w:ascii="Calibri" w:eastAsia="Times New Roman" w:hAnsi="Calibri" w:cs="Arial"/>
                <w:lang w:val="en" w:eastAsia="en-AU"/>
              </w:rPr>
            </w:pPr>
          </w:p>
        </w:tc>
        <w:tc>
          <w:tcPr>
            <w:tcW w:w="443" w:type="pct"/>
            <w:vAlign w:val="center"/>
          </w:tcPr>
          <w:p w:rsidR="007729DD" w:rsidRDefault="007729DD" w:rsidP="00682012">
            <w:pPr>
              <w:rPr>
                <w:rFonts w:ascii="Calibri" w:eastAsia="Times New Roman" w:hAnsi="Calibri" w:cs="Arial"/>
                <w:lang w:val="en" w:eastAsia="en-AU"/>
              </w:rPr>
            </w:pPr>
            <w:r>
              <w:rPr>
                <w:rFonts w:ascii="Calibri" w:eastAsia="Times New Roman" w:hAnsi="Calibri" w:cs="Arial"/>
                <w:lang w:val="en" w:eastAsia="en-AU"/>
              </w:rPr>
              <w:t>(b)</w:t>
            </w:r>
          </w:p>
        </w:tc>
        <w:tc>
          <w:tcPr>
            <w:tcW w:w="4131" w:type="pct"/>
            <w:vAlign w:val="center"/>
          </w:tcPr>
          <w:p w:rsidR="007729DD" w:rsidRPr="00DE33AD" w:rsidRDefault="007729DD" w:rsidP="007729DD">
            <w:pPr>
              <w:ind w:left="34"/>
              <w:rPr>
                <w:rFonts w:ascii="Calibri" w:eastAsia="Times New Roman" w:hAnsi="Calibri" w:cs="Arial"/>
                <w:lang w:val="en"/>
              </w:rPr>
            </w:pPr>
            <w:r>
              <w:rPr>
                <w:rFonts w:ascii="Calibri" w:eastAsia="Times New Roman" w:hAnsi="Calibri" w:cs="Arial"/>
                <w:lang w:val="en" w:eastAsia="en-AU"/>
              </w:rPr>
              <w:t>C</w:t>
            </w:r>
            <w:r w:rsidRPr="00DE33AD">
              <w:rPr>
                <w:rFonts w:ascii="Calibri" w:eastAsia="Times New Roman" w:hAnsi="Calibri" w:cs="Arial"/>
                <w:lang w:val="en" w:eastAsia="en-AU"/>
              </w:rPr>
              <w:t>onsider appropriate fencing/security/locks for rides</w:t>
            </w:r>
          </w:p>
        </w:tc>
      </w:tr>
      <w:tr w:rsidR="007729DD" w:rsidTr="007729DD">
        <w:trPr>
          <w:trHeight w:val="454"/>
        </w:trPr>
        <w:tc>
          <w:tcPr>
            <w:tcW w:w="426" w:type="pct"/>
            <w:vMerge/>
            <w:vAlign w:val="center"/>
          </w:tcPr>
          <w:p w:rsidR="007729DD" w:rsidRDefault="007729DD" w:rsidP="007729DD">
            <w:pPr>
              <w:jc w:val="center"/>
              <w:rPr>
                <w:rFonts w:ascii="Calibri" w:eastAsia="Times New Roman" w:hAnsi="Calibri" w:cs="Arial"/>
                <w:lang w:val="en" w:eastAsia="en-AU"/>
              </w:rPr>
            </w:pPr>
          </w:p>
        </w:tc>
        <w:tc>
          <w:tcPr>
            <w:tcW w:w="443" w:type="pct"/>
            <w:vAlign w:val="center"/>
          </w:tcPr>
          <w:p w:rsidR="007729DD" w:rsidRDefault="007729DD" w:rsidP="00682012">
            <w:pPr>
              <w:rPr>
                <w:rFonts w:ascii="Calibri" w:eastAsia="Times New Roman" w:hAnsi="Calibri" w:cs="Arial"/>
                <w:lang w:val="en" w:eastAsia="en-AU"/>
              </w:rPr>
            </w:pPr>
            <w:r>
              <w:rPr>
                <w:rFonts w:ascii="Calibri" w:eastAsia="Times New Roman" w:hAnsi="Calibri" w:cs="Arial"/>
                <w:lang w:val="en" w:eastAsia="en-AU"/>
              </w:rPr>
              <w:t>(c)</w:t>
            </w:r>
          </w:p>
        </w:tc>
        <w:tc>
          <w:tcPr>
            <w:tcW w:w="4131" w:type="pct"/>
            <w:vAlign w:val="center"/>
          </w:tcPr>
          <w:p w:rsidR="007729DD" w:rsidRPr="00DE33AD" w:rsidRDefault="007729DD" w:rsidP="007729DD">
            <w:pPr>
              <w:ind w:left="34"/>
              <w:rPr>
                <w:rFonts w:ascii="Calibri" w:eastAsia="Times New Roman" w:hAnsi="Calibri" w:cs="Arial"/>
                <w:lang w:val="en"/>
              </w:rPr>
            </w:pPr>
            <w:r>
              <w:rPr>
                <w:rFonts w:ascii="Calibri" w:eastAsia="Times New Roman" w:hAnsi="Calibri" w:cs="Arial"/>
                <w:lang w:val="en" w:eastAsia="en-AU"/>
              </w:rPr>
              <w:t>C</w:t>
            </w:r>
            <w:r w:rsidRPr="00DE33AD">
              <w:rPr>
                <w:rFonts w:ascii="Calibri" w:eastAsia="Times New Roman" w:hAnsi="Calibri" w:cs="Arial"/>
                <w:lang w:val="en" w:eastAsia="en-AU"/>
              </w:rPr>
              <w:t>onsider suitability of the ride for your event</w:t>
            </w:r>
          </w:p>
        </w:tc>
      </w:tr>
      <w:tr w:rsidR="007729DD" w:rsidTr="007729DD">
        <w:trPr>
          <w:trHeight w:val="454"/>
        </w:trPr>
        <w:tc>
          <w:tcPr>
            <w:tcW w:w="426" w:type="pct"/>
            <w:vMerge/>
            <w:vAlign w:val="center"/>
          </w:tcPr>
          <w:p w:rsidR="007729DD" w:rsidRDefault="007729DD" w:rsidP="007729DD">
            <w:pPr>
              <w:jc w:val="center"/>
              <w:rPr>
                <w:rFonts w:ascii="Calibri" w:eastAsia="Times New Roman" w:hAnsi="Calibri" w:cs="Arial"/>
                <w:lang w:val="en" w:eastAsia="en-AU"/>
              </w:rPr>
            </w:pPr>
          </w:p>
        </w:tc>
        <w:tc>
          <w:tcPr>
            <w:tcW w:w="443" w:type="pct"/>
            <w:vAlign w:val="center"/>
          </w:tcPr>
          <w:p w:rsidR="007729DD" w:rsidRDefault="007729DD" w:rsidP="007729DD">
            <w:pPr>
              <w:rPr>
                <w:rFonts w:ascii="Calibri" w:eastAsia="Times New Roman" w:hAnsi="Calibri" w:cs="Arial"/>
                <w:lang w:val="en" w:eastAsia="en-AU"/>
              </w:rPr>
            </w:pPr>
            <w:r>
              <w:rPr>
                <w:rFonts w:ascii="Calibri" w:eastAsia="Times New Roman" w:hAnsi="Calibri" w:cs="Arial"/>
                <w:lang w:val="en" w:eastAsia="en-AU"/>
              </w:rPr>
              <w:t>(d)</w:t>
            </w:r>
          </w:p>
        </w:tc>
        <w:tc>
          <w:tcPr>
            <w:tcW w:w="4131" w:type="pct"/>
            <w:vAlign w:val="center"/>
          </w:tcPr>
          <w:p w:rsidR="007729DD" w:rsidRPr="00DE33AD" w:rsidRDefault="007729DD" w:rsidP="007729DD">
            <w:pPr>
              <w:ind w:left="34"/>
              <w:rPr>
                <w:rFonts w:ascii="Calibri" w:eastAsia="Times New Roman" w:hAnsi="Calibri" w:cs="Arial"/>
                <w:lang w:val="en"/>
              </w:rPr>
            </w:pPr>
            <w:r>
              <w:rPr>
                <w:rFonts w:ascii="Calibri" w:eastAsia="Times New Roman" w:hAnsi="Calibri" w:cs="Arial"/>
                <w:lang w:val="en" w:eastAsia="en-AU"/>
              </w:rPr>
              <w:t>E</w:t>
            </w:r>
            <w:r w:rsidRPr="00DE33AD">
              <w:rPr>
                <w:rFonts w:ascii="Calibri" w:eastAsia="Times New Roman" w:hAnsi="Calibri" w:cs="Arial"/>
                <w:lang w:val="en" w:eastAsia="en-AU"/>
              </w:rPr>
              <w:t>nsure appropriate signage on rides (e.g., you must be this tall to ride etc.)</w:t>
            </w:r>
          </w:p>
        </w:tc>
      </w:tr>
      <w:tr w:rsidR="007729DD" w:rsidTr="007729DD">
        <w:trPr>
          <w:trHeight w:val="454"/>
        </w:trPr>
        <w:tc>
          <w:tcPr>
            <w:tcW w:w="426" w:type="pct"/>
            <w:vMerge/>
            <w:vAlign w:val="center"/>
          </w:tcPr>
          <w:p w:rsidR="007729DD" w:rsidRDefault="007729DD" w:rsidP="007729DD">
            <w:pPr>
              <w:jc w:val="center"/>
              <w:rPr>
                <w:rFonts w:ascii="Calibri" w:eastAsia="Times New Roman" w:hAnsi="Calibri" w:cs="Arial"/>
                <w:lang w:val="en" w:eastAsia="en-AU"/>
              </w:rPr>
            </w:pPr>
          </w:p>
        </w:tc>
        <w:tc>
          <w:tcPr>
            <w:tcW w:w="443" w:type="pct"/>
            <w:vAlign w:val="center"/>
          </w:tcPr>
          <w:p w:rsidR="007729DD" w:rsidRDefault="007729DD" w:rsidP="007729DD">
            <w:pPr>
              <w:rPr>
                <w:rFonts w:ascii="Calibri" w:eastAsia="Times New Roman" w:hAnsi="Calibri" w:cs="Arial"/>
                <w:lang w:val="en" w:eastAsia="en-AU"/>
              </w:rPr>
            </w:pPr>
            <w:r>
              <w:rPr>
                <w:rFonts w:ascii="Calibri" w:eastAsia="Times New Roman" w:hAnsi="Calibri" w:cs="Arial"/>
                <w:lang w:val="en" w:eastAsia="en-AU"/>
              </w:rPr>
              <w:t>(e)</w:t>
            </w:r>
          </w:p>
        </w:tc>
        <w:tc>
          <w:tcPr>
            <w:tcW w:w="4131" w:type="pct"/>
            <w:vAlign w:val="center"/>
          </w:tcPr>
          <w:p w:rsidR="007729DD" w:rsidRPr="00DE33AD" w:rsidRDefault="007729DD" w:rsidP="007729DD">
            <w:pPr>
              <w:ind w:left="34"/>
              <w:rPr>
                <w:rFonts w:ascii="Calibri" w:eastAsia="Times New Roman" w:hAnsi="Calibri" w:cs="Arial"/>
                <w:lang w:val="en"/>
              </w:rPr>
            </w:pPr>
            <w:r>
              <w:rPr>
                <w:rFonts w:ascii="Calibri" w:eastAsia="Times New Roman" w:hAnsi="Calibri" w:cs="Arial"/>
                <w:lang w:val="en" w:eastAsia="en-AU"/>
              </w:rPr>
              <w:t>O</w:t>
            </w:r>
            <w:r w:rsidRPr="00DE33AD">
              <w:rPr>
                <w:rFonts w:ascii="Calibri" w:eastAsia="Times New Roman" w:hAnsi="Calibri" w:cs="Arial"/>
                <w:lang w:val="en" w:eastAsia="en-AU"/>
              </w:rPr>
              <w:t>rganise safe access points (e.g., assist safe and orderly queuing)</w:t>
            </w:r>
          </w:p>
        </w:tc>
      </w:tr>
      <w:tr w:rsidR="007729DD" w:rsidTr="007729DD">
        <w:trPr>
          <w:trHeight w:val="454"/>
        </w:trPr>
        <w:tc>
          <w:tcPr>
            <w:tcW w:w="426" w:type="pct"/>
            <w:vAlign w:val="center"/>
          </w:tcPr>
          <w:p w:rsidR="007729DD" w:rsidRDefault="007729DD" w:rsidP="007729DD">
            <w:pPr>
              <w:jc w:val="center"/>
              <w:rPr>
                <w:rFonts w:ascii="Calibri" w:eastAsia="Times New Roman" w:hAnsi="Calibri" w:cs="Arial"/>
                <w:lang w:val="en" w:eastAsia="en-AU"/>
              </w:rPr>
            </w:pPr>
            <w:r>
              <w:rPr>
                <w:rFonts w:ascii="Calibri" w:eastAsia="Times New Roman" w:hAnsi="Calibri" w:cs="Arial"/>
                <w:lang w:val="en" w:eastAsia="en-AU"/>
              </w:rPr>
              <w:t>5)</w:t>
            </w:r>
          </w:p>
        </w:tc>
        <w:tc>
          <w:tcPr>
            <w:tcW w:w="443" w:type="pct"/>
            <w:vAlign w:val="center"/>
          </w:tcPr>
          <w:p w:rsidR="007729DD" w:rsidRDefault="007729DD" w:rsidP="007729DD">
            <w:pPr>
              <w:rPr>
                <w:rFonts w:ascii="Calibri" w:eastAsia="Times New Roman" w:hAnsi="Calibri" w:cs="Arial"/>
                <w:lang w:val="en" w:eastAsia="en-AU"/>
              </w:rPr>
            </w:pPr>
          </w:p>
        </w:tc>
        <w:tc>
          <w:tcPr>
            <w:tcW w:w="4131" w:type="pct"/>
            <w:vAlign w:val="center"/>
          </w:tcPr>
          <w:p w:rsidR="007729DD" w:rsidRDefault="007729DD" w:rsidP="007729DD">
            <w:pPr>
              <w:jc w:val="both"/>
              <w:rPr>
                <w:rFonts w:ascii="Calibri" w:eastAsia="Times New Roman" w:hAnsi="Calibri" w:cs="Arial"/>
                <w:lang w:val="en" w:eastAsia="en-AU"/>
              </w:rPr>
            </w:pPr>
            <w:r>
              <w:rPr>
                <w:rFonts w:ascii="Calibri" w:eastAsia="Times New Roman" w:hAnsi="Calibri" w:cs="Arial"/>
                <w:lang w:val="en" w:eastAsia="en-AU"/>
              </w:rPr>
              <w:t>D</w:t>
            </w:r>
            <w:r w:rsidRPr="007729DD">
              <w:rPr>
                <w:rFonts w:ascii="Calibri" w:eastAsia="Times New Roman" w:hAnsi="Calibri" w:cs="Arial"/>
                <w:lang w:val="en" w:eastAsia="en-AU"/>
              </w:rPr>
              <w:t>uring ride operation, monitor and supervise the activity (not just ride operators but also guests) and direct any unsafe activity to case.</w:t>
            </w:r>
          </w:p>
        </w:tc>
      </w:tr>
    </w:tbl>
    <w:p w:rsidR="00FD2C4C" w:rsidRPr="007729DD" w:rsidRDefault="00FD2C4C" w:rsidP="007729DD">
      <w:pPr>
        <w:spacing w:after="0" w:line="240" w:lineRule="auto"/>
        <w:jc w:val="both"/>
        <w:rPr>
          <w:rFonts w:ascii="Calibri" w:hAnsi="Calibri"/>
        </w:rPr>
      </w:pPr>
    </w:p>
    <w:sectPr w:rsidR="00FD2C4C" w:rsidRPr="00772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0BD6"/>
    <w:multiLevelType w:val="multilevel"/>
    <w:tmpl w:val="7206D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8A"/>
    <w:rsid w:val="00014F47"/>
    <w:rsid w:val="00024A5D"/>
    <w:rsid w:val="00031B91"/>
    <w:rsid w:val="000336D1"/>
    <w:rsid w:val="0004696E"/>
    <w:rsid w:val="000471CD"/>
    <w:rsid w:val="00056927"/>
    <w:rsid w:val="00060DF2"/>
    <w:rsid w:val="00084236"/>
    <w:rsid w:val="00091209"/>
    <w:rsid w:val="00095EB4"/>
    <w:rsid w:val="00096830"/>
    <w:rsid w:val="000B3FB0"/>
    <w:rsid w:val="000C07CA"/>
    <w:rsid w:val="000E23DE"/>
    <w:rsid w:val="000E38BF"/>
    <w:rsid w:val="0010048A"/>
    <w:rsid w:val="00101A51"/>
    <w:rsid w:val="00105157"/>
    <w:rsid w:val="00107D60"/>
    <w:rsid w:val="00112F33"/>
    <w:rsid w:val="00115CA2"/>
    <w:rsid w:val="00130623"/>
    <w:rsid w:val="001347FC"/>
    <w:rsid w:val="0014085F"/>
    <w:rsid w:val="00151B8C"/>
    <w:rsid w:val="0015659A"/>
    <w:rsid w:val="00165A7D"/>
    <w:rsid w:val="001718DF"/>
    <w:rsid w:val="00180DAF"/>
    <w:rsid w:val="001840F2"/>
    <w:rsid w:val="001B690D"/>
    <w:rsid w:val="001B777C"/>
    <w:rsid w:val="001D2966"/>
    <w:rsid w:val="001D3F26"/>
    <w:rsid w:val="001D737C"/>
    <w:rsid w:val="001E5B83"/>
    <w:rsid w:val="00234BC5"/>
    <w:rsid w:val="00244FC5"/>
    <w:rsid w:val="0025306D"/>
    <w:rsid w:val="00255DBF"/>
    <w:rsid w:val="00271F8F"/>
    <w:rsid w:val="00281D0B"/>
    <w:rsid w:val="00281E29"/>
    <w:rsid w:val="00295F11"/>
    <w:rsid w:val="002A1735"/>
    <w:rsid w:val="002A6821"/>
    <w:rsid w:val="002C3D47"/>
    <w:rsid w:val="002D6123"/>
    <w:rsid w:val="002E435F"/>
    <w:rsid w:val="0031128F"/>
    <w:rsid w:val="003115A5"/>
    <w:rsid w:val="00312AAC"/>
    <w:rsid w:val="00324133"/>
    <w:rsid w:val="0032586C"/>
    <w:rsid w:val="00326F7E"/>
    <w:rsid w:val="00330A80"/>
    <w:rsid w:val="0033575A"/>
    <w:rsid w:val="003638DA"/>
    <w:rsid w:val="00365B89"/>
    <w:rsid w:val="00375DF2"/>
    <w:rsid w:val="0038419F"/>
    <w:rsid w:val="0039042A"/>
    <w:rsid w:val="0039727F"/>
    <w:rsid w:val="003A1760"/>
    <w:rsid w:val="003A58EB"/>
    <w:rsid w:val="003A5CD7"/>
    <w:rsid w:val="003C3C6F"/>
    <w:rsid w:val="003D0D71"/>
    <w:rsid w:val="003E6D23"/>
    <w:rsid w:val="003F320D"/>
    <w:rsid w:val="003F6152"/>
    <w:rsid w:val="00411D21"/>
    <w:rsid w:val="00412B99"/>
    <w:rsid w:val="00457FEB"/>
    <w:rsid w:val="004635E2"/>
    <w:rsid w:val="00477A4A"/>
    <w:rsid w:val="004924E8"/>
    <w:rsid w:val="004A1AD3"/>
    <w:rsid w:val="004A3AD7"/>
    <w:rsid w:val="004A6A07"/>
    <w:rsid w:val="004A74A6"/>
    <w:rsid w:val="004B31F2"/>
    <w:rsid w:val="004B4A1B"/>
    <w:rsid w:val="004C602C"/>
    <w:rsid w:val="004D4F5E"/>
    <w:rsid w:val="004E2146"/>
    <w:rsid w:val="005028A1"/>
    <w:rsid w:val="00506557"/>
    <w:rsid w:val="005156AF"/>
    <w:rsid w:val="00525076"/>
    <w:rsid w:val="0053335E"/>
    <w:rsid w:val="00537F70"/>
    <w:rsid w:val="005533A4"/>
    <w:rsid w:val="00565123"/>
    <w:rsid w:val="00577953"/>
    <w:rsid w:val="00594313"/>
    <w:rsid w:val="005A25D0"/>
    <w:rsid w:val="005A2E9F"/>
    <w:rsid w:val="005B68BC"/>
    <w:rsid w:val="005B7CD0"/>
    <w:rsid w:val="005C79AD"/>
    <w:rsid w:val="005D141A"/>
    <w:rsid w:val="005E7F68"/>
    <w:rsid w:val="005F79CF"/>
    <w:rsid w:val="00602400"/>
    <w:rsid w:val="006233C1"/>
    <w:rsid w:val="00626184"/>
    <w:rsid w:val="00634F6C"/>
    <w:rsid w:val="0064325D"/>
    <w:rsid w:val="0065043D"/>
    <w:rsid w:val="00656F67"/>
    <w:rsid w:val="00657DC1"/>
    <w:rsid w:val="0066555D"/>
    <w:rsid w:val="006A4429"/>
    <w:rsid w:val="006A462C"/>
    <w:rsid w:val="006C1A8F"/>
    <w:rsid w:val="006D04D1"/>
    <w:rsid w:val="006D43D3"/>
    <w:rsid w:val="006E7659"/>
    <w:rsid w:val="006E774E"/>
    <w:rsid w:val="006E7CE1"/>
    <w:rsid w:val="00730BE3"/>
    <w:rsid w:val="00732737"/>
    <w:rsid w:val="007333A3"/>
    <w:rsid w:val="007348A7"/>
    <w:rsid w:val="00746744"/>
    <w:rsid w:val="00755C72"/>
    <w:rsid w:val="007729DD"/>
    <w:rsid w:val="00797A81"/>
    <w:rsid w:val="007A6B34"/>
    <w:rsid w:val="007B4B4E"/>
    <w:rsid w:val="007D5A7A"/>
    <w:rsid w:val="007F7FAC"/>
    <w:rsid w:val="008360C9"/>
    <w:rsid w:val="008453D9"/>
    <w:rsid w:val="008628B5"/>
    <w:rsid w:val="00871B16"/>
    <w:rsid w:val="00887FEE"/>
    <w:rsid w:val="008B44EA"/>
    <w:rsid w:val="008D0F28"/>
    <w:rsid w:val="00904985"/>
    <w:rsid w:val="00917184"/>
    <w:rsid w:val="00931F56"/>
    <w:rsid w:val="00951417"/>
    <w:rsid w:val="0096219C"/>
    <w:rsid w:val="009673CE"/>
    <w:rsid w:val="00970B1E"/>
    <w:rsid w:val="00971C44"/>
    <w:rsid w:val="0098054C"/>
    <w:rsid w:val="009A4281"/>
    <w:rsid w:val="009B676F"/>
    <w:rsid w:val="009C6D99"/>
    <w:rsid w:val="009D6E1E"/>
    <w:rsid w:val="009F2A4B"/>
    <w:rsid w:val="00A01CE2"/>
    <w:rsid w:val="00A76299"/>
    <w:rsid w:val="00A82553"/>
    <w:rsid w:val="00A86CFA"/>
    <w:rsid w:val="00A95AFF"/>
    <w:rsid w:val="00AA0D7C"/>
    <w:rsid w:val="00AB2EE9"/>
    <w:rsid w:val="00AB7BE7"/>
    <w:rsid w:val="00AC7CB4"/>
    <w:rsid w:val="00AD0B2C"/>
    <w:rsid w:val="00AD114D"/>
    <w:rsid w:val="00AD5253"/>
    <w:rsid w:val="00AD7007"/>
    <w:rsid w:val="00AE2A1F"/>
    <w:rsid w:val="00AF491A"/>
    <w:rsid w:val="00B01707"/>
    <w:rsid w:val="00B02CAB"/>
    <w:rsid w:val="00B07395"/>
    <w:rsid w:val="00B167B6"/>
    <w:rsid w:val="00B16CE4"/>
    <w:rsid w:val="00B20994"/>
    <w:rsid w:val="00B4095E"/>
    <w:rsid w:val="00B53196"/>
    <w:rsid w:val="00B57915"/>
    <w:rsid w:val="00B71282"/>
    <w:rsid w:val="00B833FF"/>
    <w:rsid w:val="00B85DA6"/>
    <w:rsid w:val="00BC3939"/>
    <w:rsid w:val="00BF172D"/>
    <w:rsid w:val="00C15B83"/>
    <w:rsid w:val="00C16F2D"/>
    <w:rsid w:val="00C37365"/>
    <w:rsid w:val="00C4354B"/>
    <w:rsid w:val="00C54B02"/>
    <w:rsid w:val="00C553E6"/>
    <w:rsid w:val="00C61A75"/>
    <w:rsid w:val="00C70501"/>
    <w:rsid w:val="00C9146F"/>
    <w:rsid w:val="00CA6193"/>
    <w:rsid w:val="00CA6B43"/>
    <w:rsid w:val="00CA78BF"/>
    <w:rsid w:val="00CB52B7"/>
    <w:rsid w:val="00CC748C"/>
    <w:rsid w:val="00CD3E26"/>
    <w:rsid w:val="00CE2064"/>
    <w:rsid w:val="00CF18DA"/>
    <w:rsid w:val="00D02F62"/>
    <w:rsid w:val="00D06EB9"/>
    <w:rsid w:val="00D350DF"/>
    <w:rsid w:val="00D451E9"/>
    <w:rsid w:val="00D76625"/>
    <w:rsid w:val="00D86F5E"/>
    <w:rsid w:val="00D941E5"/>
    <w:rsid w:val="00D97158"/>
    <w:rsid w:val="00DA1D82"/>
    <w:rsid w:val="00DA6A68"/>
    <w:rsid w:val="00DD4F39"/>
    <w:rsid w:val="00DD67DE"/>
    <w:rsid w:val="00DE73DD"/>
    <w:rsid w:val="00DF496F"/>
    <w:rsid w:val="00E02572"/>
    <w:rsid w:val="00E2491F"/>
    <w:rsid w:val="00E2787F"/>
    <w:rsid w:val="00E51063"/>
    <w:rsid w:val="00E512E2"/>
    <w:rsid w:val="00E518A3"/>
    <w:rsid w:val="00E51F3C"/>
    <w:rsid w:val="00E51FAD"/>
    <w:rsid w:val="00E61ED6"/>
    <w:rsid w:val="00E67809"/>
    <w:rsid w:val="00E82843"/>
    <w:rsid w:val="00EA0E19"/>
    <w:rsid w:val="00EA66CD"/>
    <w:rsid w:val="00EB08D4"/>
    <w:rsid w:val="00EB7F4D"/>
    <w:rsid w:val="00F44FAC"/>
    <w:rsid w:val="00F47B94"/>
    <w:rsid w:val="00F5209C"/>
    <w:rsid w:val="00F57057"/>
    <w:rsid w:val="00F71B4B"/>
    <w:rsid w:val="00F744B1"/>
    <w:rsid w:val="00F82F00"/>
    <w:rsid w:val="00F8768A"/>
    <w:rsid w:val="00F92A39"/>
    <w:rsid w:val="00F95155"/>
    <w:rsid w:val="00FA7FD9"/>
    <w:rsid w:val="00FD2C4C"/>
    <w:rsid w:val="00FD583D"/>
    <w:rsid w:val="00FE5FA5"/>
    <w:rsid w:val="00FF5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6A59B-A96F-44C5-8234-8360FAFF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0048A"/>
    <w:pPr>
      <w:spacing w:before="300" w:after="150" w:line="288" w:lineRule="auto"/>
      <w:outlineLvl w:val="0"/>
    </w:pPr>
    <w:rPr>
      <w:rFonts w:ascii="Arial" w:eastAsia="Times New Roman" w:hAnsi="Arial" w:cs="Arial"/>
      <w:color w:val="515151"/>
      <w:kern w:val="36"/>
      <w:sz w:val="42"/>
      <w:szCs w:val="4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48A"/>
    <w:rPr>
      <w:rFonts w:ascii="Arial" w:eastAsia="Times New Roman" w:hAnsi="Arial" w:cs="Arial"/>
      <w:color w:val="515151"/>
      <w:kern w:val="36"/>
      <w:sz w:val="42"/>
      <w:szCs w:val="42"/>
      <w:lang w:eastAsia="en-AU"/>
    </w:rPr>
  </w:style>
  <w:style w:type="paragraph" w:styleId="NormalWeb">
    <w:name w:val="Normal (Web)"/>
    <w:basedOn w:val="Normal"/>
    <w:uiPriority w:val="99"/>
    <w:semiHidden/>
    <w:unhideWhenUsed/>
    <w:rsid w:val="0010048A"/>
    <w:pPr>
      <w:spacing w:after="150" w:line="240" w:lineRule="auto"/>
    </w:pPr>
    <w:rPr>
      <w:rFonts w:ascii="Times New Roman" w:eastAsia="Times New Roman" w:hAnsi="Times New Roman" w:cs="Times New Roman"/>
      <w:sz w:val="24"/>
      <w:szCs w:val="24"/>
      <w:lang w:eastAsia="en-AU"/>
    </w:rPr>
  </w:style>
  <w:style w:type="character" w:customStyle="1" w:styleId="article-jurisdictions2">
    <w:name w:val="article-jurisdictions2"/>
    <w:basedOn w:val="DefaultParagraphFont"/>
    <w:rsid w:val="0010048A"/>
    <w:rPr>
      <w:b/>
      <w:bCs/>
      <w:sz w:val="26"/>
      <w:szCs w:val="26"/>
    </w:rPr>
  </w:style>
  <w:style w:type="character" w:customStyle="1" w:styleId="publication">
    <w:name w:val="publication"/>
    <w:basedOn w:val="DefaultParagraphFont"/>
    <w:rsid w:val="0010048A"/>
  </w:style>
  <w:style w:type="table" w:styleId="TableGrid">
    <w:name w:val="Table Grid"/>
    <w:basedOn w:val="TableNormal"/>
    <w:uiPriority w:val="39"/>
    <w:rsid w:val="0077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090676">
      <w:bodyDiv w:val="1"/>
      <w:marLeft w:val="0"/>
      <w:marRight w:val="0"/>
      <w:marTop w:val="0"/>
      <w:marBottom w:val="0"/>
      <w:divBdr>
        <w:top w:val="none" w:sz="0" w:space="0" w:color="auto"/>
        <w:left w:val="none" w:sz="0" w:space="0" w:color="auto"/>
        <w:bottom w:val="none" w:sz="0" w:space="0" w:color="auto"/>
        <w:right w:val="none" w:sz="0" w:space="0" w:color="auto"/>
      </w:divBdr>
      <w:divsChild>
        <w:div w:id="1058935394">
          <w:marLeft w:val="0"/>
          <w:marRight w:val="0"/>
          <w:marTop w:val="0"/>
          <w:marBottom w:val="0"/>
          <w:divBdr>
            <w:top w:val="none" w:sz="0" w:space="0" w:color="auto"/>
            <w:left w:val="none" w:sz="0" w:space="0" w:color="auto"/>
            <w:bottom w:val="none" w:sz="0" w:space="0" w:color="auto"/>
            <w:right w:val="none" w:sz="0" w:space="0" w:color="auto"/>
          </w:divBdr>
          <w:divsChild>
            <w:div w:id="1725986966">
              <w:marLeft w:val="-225"/>
              <w:marRight w:val="-225"/>
              <w:marTop w:val="0"/>
              <w:marBottom w:val="0"/>
              <w:divBdr>
                <w:top w:val="none" w:sz="0" w:space="0" w:color="auto"/>
                <w:left w:val="none" w:sz="0" w:space="0" w:color="auto"/>
                <w:bottom w:val="none" w:sz="0" w:space="0" w:color="auto"/>
                <w:right w:val="none" w:sz="0" w:space="0" w:color="auto"/>
              </w:divBdr>
              <w:divsChild>
                <w:div w:id="619343532">
                  <w:marLeft w:val="0"/>
                  <w:marRight w:val="0"/>
                  <w:marTop w:val="0"/>
                  <w:marBottom w:val="0"/>
                  <w:divBdr>
                    <w:top w:val="none" w:sz="0" w:space="0" w:color="auto"/>
                    <w:left w:val="none" w:sz="0" w:space="0" w:color="auto"/>
                    <w:bottom w:val="none" w:sz="0" w:space="0" w:color="auto"/>
                    <w:right w:val="none" w:sz="0" w:space="0" w:color="auto"/>
                  </w:divBdr>
                  <w:divsChild>
                    <w:div w:id="373584214">
                      <w:marLeft w:val="0"/>
                      <w:marRight w:val="0"/>
                      <w:marTop w:val="0"/>
                      <w:marBottom w:val="0"/>
                      <w:divBdr>
                        <w:top w:val="none" w:sz="0" w:space="0" w:color="auto"/>
                        <w:left w:val="none" w:sz="0" w:space="0" w:color="auto"/>
                        <w:bottom w:val="none" w:sz="0" w:space="0" w:color="auto"/>
                        <w:right w:val="none" w:sz="0" w:space="0" w:color="auto"/>
                      </w:divBdr>
                      <w:divsChild>
                        <w:div w:id="36703440">
                          <w:marLeft w:val="0"/>
                          <w:marRight w:val="0"/>
                          <w:marTop w:val="0"/>
                          <w:marBottom w:val="0"/>
                          <w:divBdr>
                            <w:top w:val="none" w:sz="0" w:space="0" w:color="auto"/>
                            <w:left w:val="none" w:sz="0" w:space="0" w:color="auto"/>
                            <w:bottom w:val="none" w:sz="0" w:space="0" w:color="auto"/>
                            <w:right w:val="none" w:sz="0" w:space="0" w:color="auto"/>
                          </w:divBdr>
                          <w:divsChild>
                            <w:div w:id="1388063288">
                              <w:marLeft w:val="0"/>
                              <w:marRight w:val="0"/>
                              <w:marTop w:val="0"/>
                              <w:marBottom w:val="240"/>
                              <w:divBdr>
                                <w:top w:val="none" w:sz="0" w:space="0" w:color="auto"/>
                                <w:left w:val="none" w:sz="0" w:space="0" w:color="auto"/>
                                <w:bottom w:val="none" w:sz="0" w:space="0" w:color="auto"/>
                                <w:right w:val="none" w:sz="0" w:space="0" w:color="auto"/>
                              </w:divBdr>
                            </w:div>
                            <w:div w:id="393551754">
                              <w:marLeft w:val="0"/>
                              <w:marRight w:val="0"/>
                              <w:marTop w:val="0"/>
                              <w:marBottom w:val="0"/>
                              <w:divBdr>
                                <w:top w:val="none" w:sz="0" w:space="0" w:color="auto"/>
                                <w:left w:val="none" w:sz="0" w:space="0" w:color="auto"/>
                                <w:bottom w:val="none" w:sz="0" w:space="0" w:color="auto"/>
                                <w:right w:val="none" w:sz="0" w:space="0" w:color="auto"/>
                              </w:divBdr>
                              <w:divsChild>
                                <w:div w:id="926689607">
                                  <w:marLeft w:val="0"/>
                                  <w:marRight w:val="0"/>
                                  <w:marTop w:val="0"/>
                                  <w:marBottom w:val="0"/>
                                  <w:divBdr>
                                    <w:top w:val="none" w:sz="0" w:space="0" w:color="auto"/>
                                    <w:left w:val="none" w:sz="0" w:space="0" w:color="auto"/>
                                    <w:bottom w:val="none" w:sz="0" w:space="0" w:color="auto"/>
                                    <w:right w:val="none" w:sz="0" w:space="0" w:color="auto"/>
                                  </w:divBdr>
                                  <w:divsChild>
                                    <w:div w:id="11461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60683">
                              <w:marLeft w:val="0"/>
                              <w:marRight w:val="0"/>
                              <w:marTop w:val="240"/>
                              <w:marBottom w:val="240"/>
                              <w:divBdr>
                                <w:top w:val="none" w:sz="0" w:space="0" w:color="auto"/>
                                <w:left w:val="none" w:sz="0" w:space="0" w:color="auto"/>
                                <w:bottom w:val="none" w:sz="0" w:space="0" w:color="auto"/>
                                <w:right w:val="none" w:sz="0" w:space="0" w:color="auto"/>
                              </w:divBdr>
                            </w:div>
                            <w:div w:id="15907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xology.com/contributors/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Aon APAC</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Lane</dc:creator>
  <cp:lastModifiedBy>User</cp:lastModifiedBy>
  <cp:revision>2</cp:revision>
  <dcterms:created xsi:type="dcterms:W3CDTF">2017-07-17T23:27:00Z</dcterms:created>
  <dcterms:modified xsi:type="dcterms:W3CDTF">2017-07-17T23:27:00Z</dcterms:modified>
</cp:coreProperties>
</file>