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5F82" w14:textId="77777777" w:rsidR="00317C0B" w:rsidRPr="00317C0B" w:rsidRDefault="004048C7" w:rsidP="00317C0B">
      <w:pPr>
        <w:jc w:val="center"/>
        <w:rPr>
          <w:b/>
          <w:bCs/>
          <w:sz w:val="40"/>
          <w:szCs w:val="40"/>
        </w:rPr>
      </w:pPr>
      <w:r w:rsidRPr="00317C0B">
        <w:rPr>
          <w:b/>
          <w:bCs/>
          <w:sz w:val="40"/>
          <w:szCs w:val="40"/>
        </w:rPr>
        <w:t>Internal Revenue Service</w:t>
      </w:r>
      <w:r w:rsidR="009A4BBF" w:rsidRPr="00317C0B">
        <w:rPr>
          <w:b/>
          <w:bCs/>
          <w:sz w:val="40"/>
          <w:szCs w:val="40"/>
        </w:rPr>
        <w:t xml:space="preserve"> </w:t>
      </w:r>
    </w:p>
    <w:p w14:paraId="61DA1FD6" w14:textId="4A80C67C" w:rsidR="00FF3B9E" w:rsidRPr="00317C0B" w:rsidRDefault="009A4BBF" w:rsidP="00317C0B">
      <w:pPr>
        <w:jc w:val="center"/>
        <w:rPr>
          <w:b/>
          <w:bCs/>
          <w:sz w:val="40"/>
          <w:szCs w:val="40"/>
        </w:rPr>
      </w:pPr>
      <w:r w:rsidRPr="00317C0B">
        <w:rPr>
          <w:b/>
          <w:bCs/>
          <w:sz w:val="40"/>
          <w:szCs w:val="40"/>
        </w:rPr>
        <w:t>Required Filings</w:t>
      </w:r>
      <w:r w:rsidR="00317C0B" w:rsidRPr="00317C0B">
        <w:rPr>
          <w:b/>
          <w:bCs/>
          <w:sz w:val="40"/>
          <w:szCs w:val="40"/>
        </w:rPr>
        <w:t xml:space="preserve"> Guidelines</w:t>
      </w:r>
    </w:p>
    <w:p w14:paraId="135174EC" w14:textId="77777777" w:rsidR="004048C7" w:rsidRDefault="004048C7">
      <w:pPr>
        <w:rPr>
          <w:b/>
          <w:bCs/>
          <w:sz w:val="24"/>
          <w:szCs w:val="24"/>
        </w:rPr>
      </w:pPr>
    </w:p>
    <w:p w14:paraId="7724F03C" w14:textId="313DF288" w:rsidR="004048C7" w:rsidRDefault="004048C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 990N – Less than $50,000 of Revenue</w:t>
      </w:r>
    </w:p>
    <w:p w14:paraId="58A20EC6" w14:textId="21072B58" w:rsidR="004048C7" w:rsidRDefault="004048C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 990 EZ – Up to $200,000 of Revenue</w:t>
      </w:r>
    </w:p>
    <w:p w14:paraId="1BEA2651" w14:textId="0CEDA1D0" w:rsidR="004048C7" w:rsidRDefault="004048C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 990 – Over $200,000 of Revenue</w:t>
      </w:r>
    </w:p>
    <w:p w14:paraId="30891453" w14:textId="77777777" w:rsidR="004048C7" w:rsidRDefault="004048C7">
      <w:pPr>
        <w:rPr>
          <w:b/>
          <w:bCs/>
          <w:sz w:val="32"/>
          <w:szCs w:val="32"/>
        </w:rPr>
      </w:pPr>
    </w:p>
    <w:p w14:paraId="703E13B3" w14:textId="1589E671" w:rsidR="004048C7" w:rsidRDefault="004048C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 1099 MISC</w:t>
      </w:r>
    </w:p>
    <w:p w14:paraId="1B04F034" w14:textId="77777777" w:rsidR="004048C7" w:rsidRDefault="004048C7" w:rsidP="004048C7">
      <w:pPr>
        <w:pStyle w:val="NormalWeb"/>
        <w:shd w:val="clear" w:color="auto" w:fill="FFFFFF"/>
        <w:spacing w:before="150" w:beforeAutospacing="0" w:after="150" w:afterAutospacing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File Form 1099-MISC, Miscellaneous Information, for each person in the course of your business to whom you have paid the following during the year.</w:t>
      </w:r>
    </w:p>
    <w:p w14:paraId="277FBE41" w14:textId="77777777" w:rsidR="004048C7" w:rsidRDefault="004048C7" w:rsidP="004048C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/>
        <w:ind w:left="96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At least $10 in royalties (see the instructions for </w:t>
      </w:r>
      <w:hyperlink r:id="rId5" w:anchor="en_US_202401_publink1000276560" w:tooltip="Box 2. Royalties" w:history="1">
        <w:r>
          <w:rPr>
            <w:rStyle w:val="Hyperlink"/>
            <w:rFonts w:ascii="Source Sans Pro" w:eastAsiaTheme="majorEastAsia" w:hAnsi="Source Sans Pro"/>
            <w:color w:val="00599C"/>
          </w:rPr>
          <w:t>box 2</w:t>
        </w:r>
      </w:hyperlink>
      <w:r>
        <w:rPr>
          <w:rFonts w:ascii="Source Sans Pro" w:hAnsi="Source Sans Pro"/>
          <w:color w:val="1B1B1B"/>
        </w:rPr>
        <w:t>) or broker payments in lieu of dividends or tax-exempt interest (see the instructions for </w:t>
      </w:r>
      <w:hyperlink r:id="rId6" w:anchor="en_US_202401_publink1000276580" w:tooltip="Box 8. Substitute Payments in Lieu of Dividends or Interest" w:history="1">
        <w:r>
          <w:rPr>
            <w:rStyle w:val="Hyperlink"/>
            <w:rFonts w:ascii="Source Sans Pro" w:eastAsiaTheme="majorEastAsia" w:hAnsi="Source Sans Pro"/>
            <w:color w:val="00599C"/>
          </w:rPr>
          <w:t>box 8</w:t>
        </w:r>
      </w:hyperlink>
      <w:r>
        <w:rPr>
          <w:rFonts w:ascii="Source Sans Pro" w:hAnsi="Source Sans Pro"/>
          <w:color w:val="1B1B1B"/>
        </w:rPr>
        <w:t>).</w:t>
      </w:r>
    </w:p>
    <w:p w14:paraId="6AB28267" w14:textId="77777777" w:rsidR="004048C7" w:rsidRDefault="004048C7" w:rsidP="004048C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/>
        <w:ind w:left="96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At least $600 in:</w:t>
      </w:r>
    </w:p>
    <w:p w14:paraId="5D418B7F" w14:textId="77777777" w:rsidR="004048C7" w:rsidRDefault="004048C7" w:rsidP="004048C7">
      <w:pPr>
        <w:pStyle w:val="NormalWeb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192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Rents (</w:t>
      </w:r>
      <w:hyperlink r:id="rId7" w:anchor="en_US_202401_publink1000276558" w:tooltip="Box 1. Rents" w:history="1">
        <w:r>
          <w:rPr>
            <w:rStyle w:val="Hyperlink"/>
            <w:rFonts w:ascii="Source Sans Pro" w:eastAsiaTheme="majorEastAsia" w:hAnsi="Source Sans Pro"/>
            <w:color w:val="00599C"/>
          </w:rPr>
          <w:t>box 1</w:t>
        </w:r>
      </w:hyperlink>
      <w:r>
        <w:rPr>
          <w:rFonts w:ascii="Source Sans Pro" w:hAnsi="Source Sans Pro"/>
          <w:color w:val="1B1B1B"/>
        </w:rPr>
        <w:t>);</w:t>
      </w:r>
    </w:p>
    <w:p w14:paraId="36917E6C" w14:textId="77777777" w:rsidR="004048C7" w:rsidRDefault="004048C7" w:rsidP="004048C7">
      <w:pPr>
        <w:pStyle w:val="NormalWeb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192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Prizes and awards (</w:t>
      </w:r>
      <w:hyperlink r:id="rId8" w:anchor="en_US_202401_publink1000276561" w:tooltip="Box 3. Other Income" w:history="1">
        <w:r>
          <w:rPr>
            <w:rStyle w:val="Hyperlink"/>
            <w:rFonts w:ascii="Source Sans Pro" w:eastAsiaTheme="majorEastAsia" w:hAnsi="Source Sans Pro"/>
            <w:color w:val="00599C"/>
          </w:rPr>
          <w:t>box 3</w:t>
        </w:r>
      </w:hyperlink>
      <w:r>
        <w:rPr>
          <w:rFonts w:ascii="Source Sans Pro" w:hAnsi="Source Sans Pro"/>
          <w:color w:val="1B1B1B"/>
        </w:rPr>
        <w:t>);</w:t>
      </w:r>
    </w:p>
    <w:p w14:paraId="06ABD5AC" w14:textId="77777777" w:rsidR="004048C7" w:rsidRDefault="004048C7" w:rsidP="004048C7">
      <w:pPr>
        <w:pStyle w:val="NormalWeb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192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Other income payments (</w:t>
      </w:r>
      <w:hyperlink r:id="rId9" w:anchor="en_US_202401_publink1000276561" w:tooltip="Box 3. Other Income" w:history="1">
        <w:r>
          <w:rPr>
            <w:rStyle w:val="Hyperlink"/>
            <w:rFonts w:ascii="Source Sans Pro" w:eastAsiaTheme="majorEastAsia" w:hAnsi="Source Sans Pro"/>
            <w:color w:val="00599C"/>
          </w:rPr>
          <w:t>box 3</w:t>
        </w:r>
      </w:hyperlink>
      <w:r>
        <w:rPr>
          <w:rFonts w:ascii="Source Sans Pro" w:hAnsi="Source Sans Pro"/>
          <w:color w:val="1B1B1B"/>
        </w:rPr>
        <w:t>);</w:t>
      </w:r>
    </w:p>
    <w:p w14:paraId="0930D232" w14:textId="77777777" w:rsidR="004048C7" w:rsidRDefault="004048C7" w:rsidP="004048C7">
      <w:pPr>
        <w:pStyle w:val="NormalWeb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192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Generally, the cash paid from a notional principal contract to an individual, partnership, or estate (</w:t>
      </w:r>
      <w:hyperlink r:id="rId10" w:anchor="en_US_202401_publink1000276561" w:tooltip="Box 3. Other Income" w:history="1">
        <w:r>
          <w:rPr>
            <w:rStyle w:val="Hyperlink"/>
            <w:rFonts w:ascii="Source Sans Pro" w:eastAsiaTheme="majorEastAsia" w:hAnsi="Source Sans Pro"/>
            <w:color w:val="00599C"/>
          </w:rPr>
          <w:t>box 3</w:t>
        </w:r>
      </w:hyperlink>
      <w:r>
        <w:rPr>
          <w:rFonts w:ascii="Source Sans Pro" w:hAnsi="Source Sans Pro"/>
          <w:color w:val="1B1B1B"/>
        </w:rPr>
        <w:t>);</w:t>
      </w:r>
    </w:p>
    <w:p w14:paraId="30FC902C" w14:textId="77777777" w:rsidR="004048C7" w:rsidRDefault="004048C7" w:rsidP="004048C7">
      <w:pPr>
        <w:pStyle w:val="NormalWeb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192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Any fishing boat proceeds (</w:t>
      </w:r>
      <w:hyperlink r:id="rId11" w:anchor="en_US_202401_publink1000276569" w:tooltip="Box 5. Fishing Boat Proceeds" w:history="1">
        <w:r>
          <w:rPr>
            <w:rStyle w:val="Hyperlink"/>
            <w:rFonts w:ascii="Source Sans Pro" w:eastAsiaTheme="majorEastAsia" w:hAnsi="Source Sans Pro"/>
            <w:color w:val="00599C"/>
          </w:rPr>
          <w:t>box 5</w:t>
        </w:r>
      </w:hyperlink>
      <w:r>
        <w:rPr>
          <w:rFonts w:ascii="Source Sans Pro" w:hAnsi="Source Sans Pro"/>
          <w:color w:val="1B1B1B"/>
        </w:rPr>
        <w:t>);</w:t>
      </w:r>
    </w:p>
    <w:p w14:paraId="6433B0D0" w14:textId="77777777" w:rsidR="004048C7" w:rsidRDefault="004048C7" w:rsidP="004048C7">
      <w:pPr>
        <w:pStyle w:val="NormalWeb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192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Medical and health care payments (</w:t>
      </w:r>
      <w:hyperlink r:id="rId12" w:anchor="en_US_202401_publink1000276570" w:tooltip="Box 6. Medical and Health Care Payments" w:history="1">
        <w:r>
          <w:rPr>
            <w:rStyle w:val="Hyperlink"/>
            <w:rFonts w:ascii="Source Sans Pro" w:eastAsiaTheme="majorEastAsia" w:hAnsi="Source Sans Pro"/>
            <w:color w:val="00599C"/>
          </w:rPr>
          <w:t>box 6</w:t>
        </w:r>
      </w:hyperlink>
      <w:r>
        <w:rPr>
          <w:rFonts w:ascii="Source Sans Pro" w:hAnsi="Source Sans Pro"/>
          <w:color w:val="1B1B1B"/>
        </w:rPr>
        <w:t>);</w:t>
      </w:r>
    </w:p>
    <w:p w14:paraId="2E130AAF" w14:textId="77777777" w:rsidR="004048C7" w:rsidRDefault="004048C7" w:rsidP="004048C7">
      <w:pPr>
        <w:pStyle w:val="NormalWeb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192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Crop insurance proceeds (</w:t>
      </w:r>
      <w:hyperlink r:id="rId13" w:anchor="en_US_202401_publink1000276582" w:tooltip="Box 9. Crop Insurance Proceeds" w:history="1">
        <w:r>
          <w:rPr>
            <w:rStyle w:val="Hyperlink"/>
            <w:rFonts w:ascii="Source Sans Pro" w:eastAsiaTheme="majorEastAsia" w:hAnsi="Source Sans Pro"/>
            <w:color w:val="00599C"/>
          </w:rPr>
          <w:t>box 9</w:t>
        </w:r>
      </w:hyperlink>
      <w:r>
        <w:rPr>
          <w:rFonts w:ascii="Source Sans Pro" w:hAnsi="Source Sans Pro"/>
          <w:color w:val="1B1B1B"/>
        </w:rPr>
        <w:t>);</w:t>
      </w:r>
    </w:p>
    <w:p w14:paraId="2B8D9D5D" w14:textId="77777777" w:rsidR="004048C7" w:rsidRDefault="004048C7" w:rsidP="004048C7">
      <w:pPr>
        <w:pStyle w:val="NormalWeb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192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Gross proceeds paid to an attorney (</w:t>
      </w:r>
      <w:hyperlink r:id="rId14" w:anchor="en_US_202401_publink100019863" w:tooltip="Box 10. Gross Proceeds Paid to an Attorney" w:history="1">
        <w:r>
          <w:rPr>
            <w:rStyle w:val="Hyperlink"/>
            <w:rFonts w:ascii="Source Sans Pro" w:eastAsiaTheme="majorEastAsia" w:hAnsi="Source Sans Pro"/>
            <w:color w:val="00599C"/>
          </w:rPr>
          <w:t>box 10</w:t>
        </w:r>
      </w:hyperlink>
      <w:r>
        <w:rPr>
          <w:rFonts w:ascii="Source Sans Pro" w:hAnsi="Source Sans Pro"/>
          <w:color w:val="1B1B1B"/>
        </w:rPr>
        <w:t>) (see </w:t>
      </w:r>
      <w:hyperlink r:id="rId15" w:anchor="en_US_202401_publink100044444" w:tooltip="Payments to attorneys." w:history="1">
        <w:r>
          <w:rPr>
            <w:rStyle w:val="Hyperlink"/>
            <w:rFonts w:ascii="Source Sans Pro" w:eastAsiaTheme="majorEastAsia" w:hAnsi="Source Sans Pro"/>
            <w:color w:val="00599C"/>
          </w:rPr>
          <w:t>Payments to attorneys</w:t>
        </w:r>
      </w:hyperlink>
      <w:r>
        <w:rPr>
          <w:rStyle w:val="italics"/>
          <w:rFonts w:ascii="Source Sans Pro" w:eastAsiaTheme="majorEastAsia" w:hAnsi="Source Sans Pro"/>
          <w:color w:val="1B1B1B"/>
        </w:rPr>
        <w:t> </w:t>
      </w:r>
      <w:r>
        <w:rPr>
          <w:rFonts w:ascii="Source Sans Pro" w:hAnsi="Source Sans Pro"/>
          <w:color w:val="1B1B1B"/>
        </w:rPr>
        <w:t>, later);</w:t>
      </w:r>
    </w:p>
    <w:p w14:paraId="72DABEB1" w14:textId="77777777" w:rsidR="004048C7" w:rsidRDefault="004048C7" w:rsidP="004048C7">
      <w:pPr>
        <w:pStyle w:val="NormalWeb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192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Section 409A deferrals (</w:t>
      </w:r>
      <w:hyperlink r:id="rId16" w:anchor="en_US_202401_publink100021135" w:tooltip="Box 12. Section 409A Deferrals" w:history="1">
        <w:r>
          <w:rPr>
            <w:rStyle w:val="Hyperlink"/>
            <w:rFonts w:ascii="Source Sans Pro" w:eastAsiaTheme="majorEastAsia" w:hAnsi="Source Sans Pro"/>
            <w:color w:val="00599C"/>
          </w:rPr>
          <w:t>box 12</w:t>
        </w:r>
      </w:hyperlink>
      <w:r>
        <w:rPr>
          <w:rFonts w:ascii="Source Sans Pro" w:hAnsi="Source Sans Pro"/>
          <w:color w:val="1B1B1B"/>
        </w:rPr>
        <w:t>); or</w:t>
      </w:r>
    </w:p>
    <w:p w14:paraId="4CD27832" w14:textId="77777777" w:rsidR="004048C7" w:rsidRDefault="004048C7" w:rsidP="004048C7">
      <w:pPr>
        <w:pStyle w:val="NormalWeb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1920" w:firstLine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Nonqualified deferred compensation (</w:t>
      </w:r>
      <w:hyperlink r:id="rId17" w:anchor="en_US_202401_publink100021134" w:tooltip="Box 15. Nonqualified Deferred Compensation" w:history="1">
        <w:r>
          <w:rPr>
            <w:rStyle w:val="Hyperlink"/>
            <w:rFonts w:ascii="Source Sans Pro" w:eastAsiaTheme="majorEastAsia" w:hAnsi="Source Sans Pro"/>
            <w:color w:val="00599C"/>
          </w:rPr>
          <w:t>box 15</w:t>
        </w:r>
      </w:hyperlink>
      <w:r>
        <w:rPr>
          <w:rFonts w:ascii="Source Sans Pro" w:hAnsi="Source Sans Pro"/>
          <w:color w:val="1B1B1B"/>
        </w:rPr>
        <w:t>).</w:t>
      </w:r>
    </w:p>
    <w:p w14:paraId="415A0595" w14:textId="1220515B" w:rsidR="004048C7" w:rsidRDefault="004048C7" w:rsidP="004048C7">
      <w:pPr>
        <w:pStyle w:val="NormalWeb"/>
        <w:shd w:val="clear" w:color="auto" w:fill="FFFFFF"/>
        <w:spacing w:before="150" w:beforeAutospacing="0" w:after="150" w:afterAutospacing="0"/>
        <w:rPr>
          <w:rFonts w:ascii="Source Sans Pro" w:hAnsi="Source Sans Pro"/>
          <w:color w:val="1B1B1B"/>
        </w:rPr>
      </w:pPr>
      <w:r>
        <w:rPr>
          <w:rFonts w:ascii="Source Sans Pro" w:hAnsi="Source Sans Pro"/>
          <w:color w:val="1B1B1B"/>
        </w:rPr>
        <w:t>You may either file Form 1099-MISC (</w:t>
      </w:r>
      <w:hyperlink r:id="rId18" w:anchor="en_US_202401_publink100021160" w:tooltip="Box 7. Payer Made Direct Sales Totaling $5,000 or More" w:history="1">
        <w:r>
          <w:rPr>
            <w:rStyle w:val="Hyperlink"/>
            <w:rFonts w:ascii="Source Sans Pro" w:eastAsiaTheme="majorEastAsia" w:hAnsi="Source Sans Pro"/>
            <w:color w:val="00599C"/>
          </w:rPr>
          <w:t>box 7</w:t>
        </w:r>
      </w:hyperlink>
      <w:r>
        <w:rPr>
          <w:rFonts w:ascii="Source Sans Pro" w:hAnsi="Source Sans Pro"/>
          <w:color w:val="1B1B1B"/>
        </w:rPr>
        <w:t>) or Form 1099-NEC (</w:t>
      </w:r>
      <w:hyperlink r:id="rId19" w:anchor="en_US_202401_publink100052201" w:tooltip="Box 2. Payer Made Direct Sales Totaling $5,000 or More" w:history="1">
        <w:r>
          <w:rPr>
            <w:rStyle w:val="Hyperlink"/>
            <w:rFonts w:ascii="Source Sans Pro" w:eastAsiaTheme="majorEastAsia" w:hAnsi="Source Sans Pro"/>
            <w:color w:val="00599C"/>
          </w:rPr>
          <w:t>box 2</w:t>
        </w:r>
      </w:hyperlink>
      <w:r>
        <w:rPr>
          <w:rFonts w:ascii="Source Sans Pro" w:hAnsi="Source Sans Pro"/>
          <w:color w:val="1B1B1B"/>
        </w:rPr>
        <w:t>) to report sales totaling $5,000 or more of consumer products to a person on a buy-sell, a deposit-commission, or other commission basis for resale</w:t>
      </w:r>
      <w:r w:rsidR="00317C0B">
        <w:rPr>
          <w:rFonts w:ascii="Source Sans Pro" w:hAnsi="Source Sans Pro"/>
          <w:color w:val="1B1B1B"/>
        </w:rPr>
        <w:t>.</w:t>
      </w:r>
    </w:p>
    <w:sectPr w:rsidR="00404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E7051"/>
    <w:multiLevelType w:val="multilevel"/>
    <w:tmpl w:val="5B12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193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C7"/>
    <w:rsid w:val="00063F22"/>
    <w:rsid w:val="002827B8"/>
    <w:rsid w:val="00317C0B"/>
    <w:rsid w:val="004048C7"/>
    <w:rsid w:val="00754144"/>
    <w:rsid w:val="00874CB7"/>
    <w:rsid w:val="009A4BBF"/>
    <w:rsid w:val="00E621E1"/>
    <w:rsid w:val="00EC24FC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BA61"/>
  <w15:chartTrackingRefBased/>
  <w15:docId w15:val="{BA906853-E571-4AB8-AC40-D840AF91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8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048C7"/>
    <w:rPr>
      <w:color w:val="0000FF"/>
      <w:u w:val="single"/>
    </w:rPr>
  </w:style>
  <w:style w:type="character" w:customStyle="1" w:styleId="italics">
    <w:name w:val="italics"/>
    <w:basedOn w:val="DefaultParagraphFont"/>
    <w:rsid w:val="0040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8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7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instructions/i1099mec" TargetMode="External"/><Relationship Id="rId13" Type="http://schemas.openxmlformats.org/officeDocument/2006/relationships/hyperlink" Target="https://www.irs.gov/instructions/i1099mec" TargetMode="External"/><Relationship Id="rId18" Type="http://schemas.openxmlformats.org/officeDocument/2006/relationships/hyperlink" Target="https://www.irs.gov/instructions/i1099me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rs.gov/instructions/i1099mec" TargetMode="External"/><Relationship Id="rId12" Type="http://schemas.openxmlformats.org/officeDocument/2006/relationships/hyperlink" Target="https://www.irs.gov/instructions/i1099mec" TargetMode="External"/><Relationship Id="rId17" Type="http://schemas.openxmlformats.org/officeDocument/2006/relationships/hyperlink" Target="https://www.irs.gov/instructions/i1099m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rs.gov/instructions/i1099me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rs.gov/instructions/i1099mec" TargetMode="External"/><Relationship Id="rId11" Type="http://schemas.openxmlformats.org/officeDocument/2006/relationships/hyperlink" Target="https://www.irs.gov/instructions/i1099mec" TargetMode="External"/><Relationship Id="rId5" Type="http://schemas.openxmlformats.org/officeDocument/2006/relationships/hyperlink" Target="https://www.irs.gov/instructions/i1099mec" TargetMode="External"/><Relationship Id="rId15" Type="http://schemas.openxmlformats.org/officeDocument/2006/relationships/hyperlink" Target="https://www.irs.gov/instructions/i1099mec" TargetMode="External"/><Relationship Id="rId10" Type="http://schemas.openxmlformats.org/officeDocument/2006/relationships/hyperlink" Target="https://www.irs.gov/instructions/i1099mec" TargetMode="External"/><Relationship Id="rId19" Type="http://schemas.openxmlformats.org/officeDocument/2006/relationships/hyperlink" Target="https://www.irs.gov/instructions/i1099m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s.gov/instructions/i1099mec" TargetMode="External"/><Relationship Id="rId14" Type="http://schemas.openxmlformats.org/officeDocument/2006/relationships/hyperlink" Target="https://www.irs.gov/instructions/i1099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2611</Characters>
  <Application>Microsoft Office Word</Application>
  <DocSecurity>4</DocSecurity>
  <Lines>74</Lines>
  <Paragraphs>61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Deering</dc:creator>
  <cp:keywords/>
  <dc:description/>
  <cp:lastModifiedBy>Marsha Vacca</cp:lastModifiedBy>
  <cp:revision>2</cp:revision>
  <dcterms:created xsi:type="dcterms:W3CDTF">2026-03-24T15:59:00Z</dcterms:created>
  <dcterms:modified xsi:type="dcterms:W3CDTF">2026-03-24T15:59:00Z</dcterms:modified>
</cp:coreProperties>
</file>