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4611"/>
        <w:gridCol w:w="2271"/>
        <w:gridCol w:w="4472"/>
        <w:gridCol w:w="70"/>
      </w:tblGrid>
      <w:tr w:rsidR="00675202" w:rsidRPr="009331C0" w14:paraId="75A317BB" w14:textId="77777777" w:rsidTr="00DD5733">
        <w:trPr>
          <w:cantSplit/>
          <w:trHeight w:hRule="exact" w:val="1568"/>
        </w:trPr>
        <w:tc>
          <w:tcPr>
            <w:tcW w:w="4669" w:type="dxa"/>
            <w:gridSpan w:val="2"/>
          </w:tcPr>
          <w:p w14:paraId="2B811CFA" w14:textId="77777777"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</w:p>
          <w:p w14:paraId="13417B3D" w14:textId="77777777" w:rsidR="00D46D38" w:rsidRPr="00D46D38" w:rsidRDefault="00D46D38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Liability</w:t>
            </w:r>
          </w:p>
          <w:p w14:paraId="52219386" w14:textId="77777777"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D38">
              <w:rPr>
                <w:b/>
                <w:sz w:val="24"/>
                <w:szCs w:val="24"/>
                <w:lang w:val="en-CA"/>
              </w:rPr>
              <w:t>GE000</w:t>
            </w:r>
            <w:r w:rsidR="00DD5733">
              <w:rPr>
                <w:b/>
                <w:sz w:val="24"/>
                <w:szCs w:val="24"/>
                <w:lang w:val="en-CA"/>
              </w:rPr>
              <w:t>4</w:t>
            </w:r>
          </w:p>
        </w:tc>
        <w:tc>
          <w:tcPr>
            <w:tcW w:w="2271" w:type="dxa"/>
          </w:tcPr>
          <w:p w14:paraId="6D2556A4" w14:textId="77777777"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14:paraId="4C79BF0C" w14:textId="77777777"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 w14:anchorId="7176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2pt" o:ole="">
                  <v:imagedata r:id="rId8" o:title=""/>
                </v:shape>
              </w:object>
            </w:r>
          </w:p>
        </w:tc>
      </w:tr>
      <w:tr w:rsidR="00675202" w:rsidRPr="00AF61E5" w14:paraId="7E0AABB4" w14:textId="77777777" w:rsidTr="00DD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70" w:type="dxa"/>
        </w:trPr>
        <w:tc>
          <w:tcPr>
            <w:tcW w:w="1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CD2621D" w14:textId="77777777" w:rsidR="00675202" w:rsidRPr="00AF61E5" w:rsidRDefault="00DD5733" w:rsidP="00DD1CD7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WATERCRAFT EXCLUSION AMENDMENT</w:t>
            </w:r>
          </w:p>
        </w:tc>
      </w:tr>
    </w:tbl>
    <w:p w14:paraId="7A6A08EE" w14:textId="77777777" w:rsidR="007A3407" w:rsidRPr="00AC44BC" w:rsidRDefault="007A3407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50E58C12" w14:textId="77777777" w:rsidR="008A2830" w:rsidRDefault="008A2830" w:rsidP="005549C6">
      <w:pPr>
        <w:autoSpaceDE w:val="0"/>
        <w:autoSpaceDN w:val="0"/>
        <w:adjustRightInd w:val="0"/>
        <w:rPr>
          <w:rFonts w:ascii="Helvetica" w:hAnsi="Helvetica" w:cs="Helvetica"/>
          <w:b/>
          <w:sz w:val="18"/>
          <w:szCs w:val="18"/>
          <w:lang w:val="en-CA"/>
        </w:rPr>
      </w:pPr>
    </w:p>
    <w:p w14:paraId="113B60E3" w14:textId="77777777" w:rsidR="008A2830" w:rsidRPr="00926C16" w:rsidRDefault="008A2830" w:rsidP="008A283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This Endorsement Changes the Policy. Please Read It Carefully.</w:t>
      </w:r>
    </w:p>
    <w:p w14:paraId="2E00AFD8" w14:textId="77777777" w:rsidR="008A2830" w:rsidRPr="00926C16" w:rsidRDefault="008A2830" w:rsidP="008A283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B66C0F7" w14:textId="77777777" w:rsidR="008A2830" w:rsidRPr="00926C16" w:rsidRDefault="008A2830" w:rsidP="008A283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Certain words and phrases that appear in bold have special meaning as defined below or in the Form to which this Endorsement is attached.</w:t>
      </w:r>
    </w:p>
    <w:p w14:paraId="569F6BFD" w14:textId="076D850A" w:rsidR="008A2830" w:rsidRPr="00926C16" w:rsidRDefault="008A2830" w:rsidP="008A2830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926C16">
        <w:rPr>
          <w:rFonts w:ascii="Arial" w:hAnsi="Arial" w:cs="Arial"/>
          <w:sz w:val="18"/>
          <w:szCs w:val="18"/>
          <w:lang w:val="en-CA"/>
        </w:rPr>
        <w:t>This Endorsement is attached to the Commercial General Liability Max Form and is subject to all terms, conditions, limitations and exclusions of such Form</w:t>
      </w:r>
      <w:r w:rsidR="008A6379">
        <w:rPr>
          <w:rFonts w:ascii="Arial" w:hAnsi="Arial" w:cs="Arial"/>
          <w:sz w:val="18"/>
          <w:szCs w:val="18"/>
          <w:lang w:val="en-CA"/>
        </w:rPr>
        <w:t>, except as amended by this Endorsement</w:t>
      </w:r>
      <w:r w:rsidRPr="00926C16">
        <w:rPr>
          <w:rFonts w:ascii="Arial" w:hAnsi="Arial" w:cs="Arial"/>
          <w:sz w:val="18"/>
          <w:szCs w:val="18"/>
          <w:lang w:val="en-CA"/>
        </w:rPr>
        <w:t>.</w:t>
      </w:r>
    </w:p>
    <w:p w14:paraId="3CFEB029" w14:textId="77777777" w:rsidR="008A2830" w:rsidRDefault="00361D01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>S</w:t>
      </w:r>
      <w:r w:rsidR="004909DF">
        <w:rPr>
          <w:rFonts w:ascii="Helvetica" w:hAnsi="Helvetica" w:cs="Helvetica"/>
          <w:sz w:val="18"/>
          <w:szCs w:val="18"/>
          <w:lang w:val="en-CA"/>
        </w:rPr>
        <w:t>ECTION I, COVERAGE A, paragraph 2. EXCLUSIONS, Watercraft Exclusion 2.5 is deleted and replaced by the following:</w:t>
      </w:r>
    </w:p>
    <w:p w14:paraId="11B8FA47" w14:textId="77777777" w:rsidR="004909DF" w:rsidRPr="00361D01" w:rsidRDefault="004909DF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0066200F" w14:textId="77777777" w:rsidR="008A2830" w:rsidRPr="00D65FF6" w:rsidRDefault="004909DF" w:rsidP="00D65FF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>Watercraft</w:t>
      </w:r>
    </w:p>
    <w:p w14:paraId="68E87DA5" w14:textId="77777777" w:rsidR="0035012B" w:rsidRDefault="0035012B" w:rsidP="0035012B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3A290480" w14:textId="77777777" w:rsidR="004909DF" w:rsidRPr="00D65FF6" w:rsidRDefault="0035012B" w:rsidP="00D65F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774"/>
        <w:rPr>
          <w:rFonts w:ascii="Helvetica" w:hAnsi="Helvetica" w:cs="Helvetica"/>
          <w:sz w:val="18"/>
          <w:szCs w:val="18"/>
          <w:lang w:val="en-CA"/>
        </w:rPr>
      </w:pPr>
      <w:r w:rsidRPr="00D65FF6">
        <w:rPr>
          <w:rFonts w:ascii="Helvetica" w:hAnsi="Helvetica" w:cs="Helvetica"/>
          <w:b/>
          <w:sz w:val="18"/>
          <w:szCs w:val="18"/>
          <w:lang w:val="en-CA"/>
        </w:rPr>
        <w:t>Bodily injury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 or 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>property damage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 arising out of the ownership, maintenance, use or entrustment to others by or on behalf of any</w:t>
      </w:r>
      <w:r w:rsidR="00D65FF6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Pr="00D65FF6">
        <w:rPr>
          <w:rFonts w:ascii="Helvetica" w:hAnsi="Helvetica" w:cs="Helvetica"/>
          <w:sz w:val="18"/>
          <w:szCs w:val="18"/>
          <w:lang w:val="en-CA"/>
        </w:rPr>
        <w:t>Insured of any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Pr="00D65FF6">
        <w:rPr>
          <w:rFonts w:ascii="Helvetica" w:hAnsi="Helvetica" w:cs="Helvetica"/>
          <w:sz w:val="18"/>
          <w:szCs w:val="18"/>
          <w:lang w:val="en-CA"/>
        </w:rPr>
        <w:t>watercraft that is owned, operated by, rented or loaned to any Insured.</w:t>
      </w:r>
    </w:p>
    <w:p w14:paraId="529E7765" w14:textId="77777777" w:rsidR="0035012B" w:rsidRDefault="0035012B" w:rsidP="0035012B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24572FD1" w14:textId="77777777" w:rsidR="0035012B" w:rsidRDefault="0035012B" w:rsidP="00D65FF6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sz w:val="18"/>
          <w:szCs w:val="18"/>
          <w:lang w:val="en-CA"/>
        </w:rPr>
      </w:pPr>
      <w:r w:rsidRPr="0035012B">
        <w:rPr>
          <w:rFonts w:ascii="Helvetica" w:hAnsi="Helvetica" w:cs="Helvetica"/>
          <w:b/>
          <w:sz w:val="18"/>
          <w:szCs w:val="18"/>
          <w:lang w:val="en-CA"/>
        </w:rPr>
        <w:t>This exclusion does not apply to:</w:t>
      </w:r>
    </w:p>
    <w:p w14:paraId="3FD21B66" w14:textId="77777777" w:rsidR="004909DF" w:rsidRPr="00D65FF6" w:rsidRDefault="00D65FF6" w:rsidP="00D65F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774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>A w</w:t>
      </w:r>
      <w:r w:rsidR="0035012B" w:rsidRPr="00D65FF6">
        <w:rPr>
          <w:rFonts w:ascii="Helvetica" w:hAnsi="Helvetica" w:cs="Helvetica"/>
          <w:sz w:val="18"/>
          <w:szCs w:val="18"/>
          <w:lang w:val="en-CA"/>
        </w:rPr>
        <w:t>atercraft while ashore on premises that are owned by, rented to or controlled by you;</w:t>
      </w:r>
    </w:p>
    <w:p w14:paraId="7A71F3EA" w14:textId="77777777" w:rsidR="00C0540C" w:rsidRPr="00D65FF6" w:rsidRDefault="00C0540C" w:rsidP="00D65F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774"/>
        <w:rPr>
          <w:rFonts w:ascii="Helvetica" w:hAnsi="Helvetica" w:cs="Helvetica"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>Sub-para</w:t>
      </w:r>
      <w:bookmarkStart w:id="0" w:name="_GoBack"/>
      <w:bookmarkEnd w:id="0"/>
      <w:r w:rsidRPr="00D65FF6">
        <w:rPr>
          <w:rFonts w:ascii="Helvetica" w:hAnsi="Helvetica" w:cs="Helvetica"/>
          <w:sz w:val="18"/>
          <w:szCs w:val="18"/>
          <w:lang w:val="en-CA"/>
        </w:rPr>
        <w:t xml:space="preserve">graph 2.5.1. does not apply to 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>bodily injury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 sustained by any of your 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>employees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 while acting on your behalf.</w:t>
      </w:r>
    </w:p>
    <w:p w14:paraId="00A74C60" w14:textId="77777777" w:rsidR="007951F4" w:rsidRPr="00D65FF6" w:rsidRDefault="00D65FF6" w:rsidP="00D65FF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134" w:hanging="774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>W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>atercraft that is</w:t>
      </w:r>
      <w:r>
        <w:rPr>
          <w:rFonts w:ascii="Helvetica" w:hAnsi="Helvetica" w:cs="Helvetica"/>
          <w:sz w:val="18"/>
          <w:szCs w:val="18"/>
          <w:lang w:val="en-CA"/>
        </w:rPr>
        <w:t>:</w:t>
      </w:r>
    </w:p>
    <w:p w14:paraId="2D29B5CD" w14:textId="77777777" w:rsidR="0016605B" w:rsidRPr="00D65FF6" w:rsidRDefault="003635AE" w:rsidP="00D65FF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43" w:hanging="709"/>
        <w:rPr>
          <w:rFonts w:ascii="Helvetica" w:hAnsi="Helvetica" w:cs="Helvetica"/>
          <w:b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>A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="0016605B" w:rsidRPr="00D65FF6">
        <w:rPr>
          <w:rFonts w:ascii="Helvetica" w:hAnsi="Helvetica" w:cs="Helvetica"/>
          <w:b/>
          <w:sz w:val="18"/>
          <w:szCs w:val="18"/>
          <w:lang w:val="en-CA"/>
        </w:rPr>
        <w:t>non-motorized watercraft</w:t>
      </w:r>
      <w:r w:rsidRPr="00F34BEC">
        <w:rPr>
          <w:rFonts w:ascii="Helvetica" w:hAnsi="Helvetica" w:cs="Helvetica"/>
          <w:sz w:val="18"/>
          <w:szCs w:val="18"/>
          <w:lang w:val="en-CA"/>
        </w:rPr>
        <w:t>,</w:t>
      </w:r>
      <w:r w:rsidR="0016605B" w:rsidRPr="00D65FF6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or </w:t>
      </w:r>
    </w:p>
    <w:p w14:paraId="3430326C" w14:textId="03509F37" w:rsidR="003635AE" w:rsidRPr="00D65FF6" w:rsidRDefault="000007F9" w:rsidP="00D65FF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43" w:hanging="709"/>
        <w:rPr>
          <w:rFonts w:ascii="Helvetica" w:hAnsi="Helvetica" w:cs="Helvetica"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>A m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>otorized</w:t>
      </w:r>
      <w:r w:rsidR="0016605B" w:rsidRPr="00D65FF6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>watercraft used only for safety purpose</w:t>
      </w:r>
      <w:r w:rsidRPr="00D65FF6">
        <w:rPr>
          <w:rFonts w:ascii="Helvetica" w:hAnsi="Helvetica" w:cs="Helvetica"/>
          <w:sz w:val="18"/>
          <w:szCs w:val="18"/>
          <w:lang w:val="en-CA"/>
        </w:rPr>
        <w:t>s during dragon boat traning or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 races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Pr="00D65FF6">
        <w:rPr>
          <w:rFonts w:ascii="Helvetica" w:hAnsi="Helvetica" w:cs="Helvetica"/>
          <w:sz w:val="18"/>
          <w:szCs w:val="18"/>
          <w:lang w:val="en-CA"/>
        </w:rPr>
        <w:t>and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Pr="00D65FF6">
        <w:rPr>
          <w:rFonts w:ascii="Helvetica" w:hAnsi="Helvetica" w:cs="Helvetica"/>
          <w:sz w:val="18"/>
          <w:szCs w:val="18"/>
          <w:lang w:val="en-CA"/>
        </w:rPr>
        <w:t>that</w:t>
      </w:r>
      <w:r w:rsidRPr="00D65FF6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>is no more than 16</w:t>
      </w:r>
      <w:r w:rsidR="00F50204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="00F34BEC">
        <w:rPr>
          <w:rFonts w:ascii="Helvetica" w:hAnsi="Helvetica" w:cs="Helvetica"/>
          <w:sz w:val="18"/>
          <w:szCs w:val="18"/>
          <w:lang w:val="en-CA"/>
        </w:rPr>
        <w:t xml:space="preserve"> feet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 in length</w:t>
      </w:r>
      <w:r w:rsidR="00F34BEC">
        <w:rPr>
          <w:rFonts w:ascii="Helvetica" w:hAnsi="Helvetica" w:cs="Helvetica"/>
          <w:sz w:val="18"/>
          <w:szCs w:val="18"/>
          <w:lang w:val="en-CA"/>
        </w:rPr>
        <w:t>,</w:t>
      </w:r>
      <w:r w:rsidR="0016605B" w:rsidRPr="00D65FF6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="003635AE" w:rsidRPr="00D65FF6">
        <w:rPr>
          <w:rFonts w:ascii="Helvetica" w:hAnsi="Helvetica" w:cs="Helvetica"/>
          <w:sz w:val="18"/>
          <w:szCs w:val="18"/>
          <w:lang w:val="en-CA"/>
        </w:rPr>
        <w:t>or</w:t>
      </w:r>
    </w:p>
    <w:p w14:paraId="380B1A03" w14:textId="5552A514" w:rsidR="000007F9" w:rsidRPr="00D65FF6" w:rsidRDefault="000007F9" w:rsidP="00D65FF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43" w:hanging="709"/>
        <w:rPr>
          <w:rFonts w:ascii="Helvetica" w:hAnsi="Helvetica" w:cs="Helvetica"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 xml:space="preserve">A </w:t>
      </w:r>
      <w:r w:rsidR="003635AE" w:rsidRPr="00D65FF6">
        <w:rPr>
          <w:rFonts w:ascii="Helvetica" w:hAnsi="Helvetica" w:cs="Helvetica"/>
          <w:sz w:val="18"/>
          <w:szCs w:val="18"/>
          <w:lang w:val="en-CA"/>
        </w:rPr>
        <w:t>watercraft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 you do not own</w:t>
      </w:r>
      <w:r w:rsidR="003635AE" w:rsidRPr="00D65FF6">
        <w:rPr>
          <w:rFonts w:ascii="Helvetica" w:hAnsi="Helvetica" w:cs="Helvetica"/>
          <w:sz w:val="18"/>
          <w:szCs w:val="18"/>
          <w:lang w:val="en-CA"/>
        </w:rPr>
        <w:t xml:space="preserve"> </w:t>
      </w:r>
      <w:r w:rsidRPr="00D65FF6">
        <w:rPr>
          <w:rFonts w:ascii="Helvetica" w:hAnsi="Helvetica" w:cs="Helvetica"/>
          <w:sz w:val="18"/>
          <w:szCs w:val="18"/>
          <w:lang w:val="en-CA"/>
        </w:rPr>
        <w:t xml:space="preserve">that is </w:t>
      </w:r>
      <w:r w:rsidR="003635AE" w:rsidRPr="00D65FF6">
        <w:rPr>
          <w:rFonts w:ascii="Helvetica" w:hAnsi="Helvetica" w:cs="Helvetica"/>
          <w:sz w:val="18"/>
          <w:szCs w:val="18"/>
          <w:lang w:val="en-CA"/>
        </w:rPr>
        <w:t>less than 16 met</w:t>
      </w:r>
      <w:r w:rsidR="00F34BEC">
        <w:rPr>
          <w:rFonts w:ascii="Helvetica" w:hAnsi="Helvetica" w:cs="Helvetica"/>
          <w:sz w:val="18"/>
          <w:szCs w:val="18"/>
          <w:lang w:val="en-CA"/>
        </w:rPr>
        <w:t>res</w:t>
      </w:r>
      <w:r w:rsidR="003635AE" w:rsidRPr="00D65FF6">
        <w:rPr>
          <w:rFonts w:ascii="Helvetica" w:hAnsi="Helvetica" w:cs="Helvetica"/>
          <w:sz w:val="18"/>
          <w:szCs w:val="18"/>
          <w:lang w:val="en-CA"/>
        </w:rPr>
        <w:t xml:space="preserve"> long</w:t>
      </w:r>
      <w:r w:rsidR="00D65FF6" w:rsidRPr="00D65FF6">
        <w:rPr>
          <w:rFonts w:ascii="Helvetica" w:hAnsi="Helvetica" w:cs="Helvetica"/>
          <w:sz w:val="18"/>
          <w:szCs w:val="18"/>
          <w:lang w:val="en-CA"/>
        </w:rPr>
        <w:t xml:space="preserve">, except when sub-parapgrah 2.5.4.2 </w:t>
      </w:r>
      <w:r w:rsidR="0085392C">
        <w:rPr>
          <w:rFonts w:ascii="Helvetica" w:hAnsi="Helvetica" w:cs="Helvetica"/>
          <w:sz w:val="18"/>
          <w:szCs w:val="18"/>
          <w:lang w:val="en-CA"/>
        </w:rPr>
        <w:t xml:space="preserve">or 2.54.1. </w:t>
      </w:r>
      <w:r w:rsidR="00D65FF6" w:rsidRPr="00D65FF6">
        <w:rPr>
          <w:rFonts w:ascii="Helvetica" w:hAnsi="Helvetica" w:cs="Helvetica"/>
          <w:sz w:val="18"/>
          <w:szCs w:val="18"/>
          <w:lang w:val="en-CA"/>
        </w:rPr>
        <w:t>applies; and</w:t>
      </w:r>
    </w:p>
    <w:p w14:paraId="1CF1ACD6" w14:textId="77777777" w:rsidR="0016605B" w:rsidRPr="00D65FF6" w:rsidRDefault="0016605B" w:rsidP="00D65FF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43" w:hanging="709"/>
        <w:rPr>
          <w:rFonts w:ascii="Helvetica" w:hAnsi="Helvetica" w:cs="Helvetica"/>
          <w:b/>
          <w:sz w:val="18"/>
          <w:szCs w:val="18"/>
          <w:lang w:val="en-CA"/>
        </w:rPr>
      </w:pPr>
      <w:r w:rsidRPr="00D65FF6">
        <w:rPr>
          <w:rFonts w:ascii="Helvetica" w:hAnsi="Helvetica" w:cs="Helvetica"/>
          <w:sz w:val="18"/>
          <w:szCs w:val="18"/>
          <w:lang w:val="en-CA"/>
        </w:rPr>
        <w:t>Not being used to carry persons or property for a charge</w:t>
      </w:r>
      <w:r w:rsidR="00D65FF6">
        <w:rPr>
          <w:rFonts w:ascii="Helvetica" w:hAnsi="Helvetica" w:cs="Helvetica"/>
          <w:sz w:val="18"/>
          <w:szCs w:val="18"/>
          <w:lang w:val="en-CA"/>
        </w:rPr>
        <w:t>.</w:t>
      </w:r>
    </w:p>
    <w:p w14:paraId="7E805153" w14:textId="77777777" w:rsidR="0016605B" w:rsidRDefault="0016605B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1BBCD737" w14:textId="2BAD9F87" w:rsidR="000007F9" w:rsidRPr="000A4971" w:rsidRDefault="000007F9" w:rsidP="00F34BEC">
      <w:pPr>
        <w:tabs>
          <w:tab w:val="left" w:pos="6300"/>
        </w:tabs>
        <w:spacing w:before="60" w:after="60"/>
        <w:rPr>
          <w:rFonts w:ascii="Helvetica" w:hAnsi="Helvetica" w:cs="Helvetica"/>
          <w:sz w:val="18"/>
          <w:szCs w:val="18"/>
          <w:lang w:val="en-CA"/>
        </w:rPr>
      </w:pPr>
      <w:r w:rsidRPr="000007F9">
        <w:rPr>
          <w:rFonts w:ascii="Helvetica" w:hAnsi="Helvetica" w:cs="Helvetica"/>
          <w:b/>
          <w:sz w:val="18"/>
          <w:szCs w:val="18"/>
          <w:lang w:val="en-CA"/>
        </w:rPr>
        <w:t>Non-motorized watercraft</w:t>
      </w:r>
      <w:r>
        <w:rPr>
          <w:rFonts w:ascii="Helvetica" w:hAnsi="Helvetica" w:cs="Helvetica"/>
          <w:sz w:val="18"/>
          <w:szCs w:val="18"/>
          <w:lang w:val="en-CA"/>
        </w:rPr>
        <w:t xml:space="preserve"> means </w:t>
      </w:r>
      <w:r w:rsidR="0084393C">
        <w:rPr>
          <w:rFonts w:ascii="Helvetica" w:hAnsi="Helvetica" w:cs="Helvetica"/>
          <w:sz w:val="18"/>
          <w:szCs w:val="18"/>
          <w:lang w:val="en-CA"/>
        </w:rPr>
        <w:t>non-motorized rowboats and canoes, i</w:t>
      </w:r>
      <w:r>
        <w:rPr>
          <w:rFonts w:ascii="Helvetica" w:hAnsi="Helvetica" w:cs="Helvetica"/>
          <w:sz w:val="18"/>
          <w:szCs w:val="18"/>
          <w:lang w:val="en-CA"/>
        </w:rPr>
        <w:t xml:space="preserve">ncluding </w:t>
      </w:r>
      <w:r w:rsidR="0084393C">
        <w:rPr>
          <w:rFonts w:ascii="Helvetica" w:hAnsi="Helvetica" w:cs="Helvetica"/>
          <w:sz w:val="18"/>
          <w:szCs w:val="18"/>
          <w:lang w:val="en-CA"/>
        </w:rPr>
        <w:t xml:space="preserve">non-motorized </w:t>
      </w:r>
      <w:r>
        <w:rPr>
          <w:rFonts w:ascii="Helvetica" w:hAnsi="Helvetica" w:cs="Helvetica"/>
          <w:sz w:val="18"/>
          <w:szCs w:val="18"/>
          <w:lang w:val="en-CA"/>
        </w:rPr>
        <w:t>dragon boats used in dragon boat fundraising races (including the training and preparation for such events) which are designed and/or modified to be used for that purpose.</w:t>
      </w:r>
    </w:p>
    <w:p w14:paraId="36990869" w14:textId="77777777" w:rsidR="00D65FF6" w:rsidRDefault="00D65FF6" w:rsidP="00D65FF6">
      <w:pPr>
        <w:tabs>
          <w:tab w:val="left" w:pos="6300"/>
        </w:tabs>
        <w:spacing w:before="60" w:after="60"/>
        <w:rPr>
          <w:rFonts w:ascii="Helvetica" w:hAnsi="Helvetica" w:cs="Helvetica"/>
          <w:sz w:val="18"/>
          <w:szCs w:val="18"/>
          <w:lang w:val="en-CA"/>
        </w:rPr>
      </w:pPr>
    </w:p>
    <w:p w14:paraId="27E47D29" w14:textId="77777777" w:rsidR="00F34BEC" w:rsidRPr="000A4971" w:rsidRDefault="00F34BEC" w:rsidP="00D65FF6">
      <w:pPr>
        <w:tabs>
          <w:tab w:val="left" w:pos="6300"/>
        </w:tabs>
        <w:spacing w:before="60" w:after="60"/>
        <w:rPr>
          <w:rFonts w:ascii="Helvetica" w:hAnsi="Helvetica" w:cs="Helvetica"/>
          <w:sz w:val="18"/>
          <w:szCs w:val="18"/>
          <w:lang w:val="en-CA"/>
        </w:rPr>
      </w:pPr>
    </w:p>
    <w:p w14:paraId="03A25FA5" w14:textId="77777777" w:rsidR="00D65FF6" w:rsidRPr="00AC44BC" w:rsidRDefault="00D65FF6" w:rsidP="00D65FF6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AC44BC">
        <w:rPr>
          <w:rFonts w:ascii="Helvetica" w:hAnsi="Helvetica" w:cs="Helvetica"/>
          <w:b/>
          <w:sz w:val="18"/>
          <w:szCs w:val="18"/>
          <w:lang w:val="en-CA"/>
        </w:rPr>
        <w:t>All other terms and conditions of the Policy remain unchanged.</w:t>
      </w:r>
    </w:p>
    <w:p w14:paraId="073BF6F1" w14:textId="0C65FB28" w:rsidR="000007F9" w:rsidRDefault="000007F9" w:rsidP="008A28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sectPr w:rsidR="000007F9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D90B" w14:textId="77777777" w:rsidR="001B7497" w:rsidRDefault="001B7497">
      <w:r>
        <w:separator/>
      </w:r>
    </w:p>
  </w:endnote>
  <w:endnote w:type="continuationSeparator" w:id="0">
    <w:p w14:paraId="53D1F782" w14:textId="77777777"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9CB8" w14:textId="77777777"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CC9D" w14:textId="77777777"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51B0" w14:textId="77777777" w:rsidR="001B7497" w:rsidRDefault="001B7497">
      <w:r>
        <w:separator/>
      </w:r>
    </w:p>
  </w:footnote>
  <w:footnote w:type="continuationSeparator" w:id="0">
    <w:p w14:paraId="120742B9" w14:textId="77777777"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AE1"/>
    <w:multiLevelType w:val="hybridMultilevel"/>
    <w:tmpl w:val="D272028C"/>
    <w:lvl w:ilvl="0" w:tplc="763C7070">
      <w:start w:val="1"/>
      <w:numFmt w:val="decimal"/>
      <w:lvlText w:val="2.5.4.%1."/>
      <w:lvlJc w:val="left"/>
      <w:pPr>
        <w:ind w:left="1494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4271FD"/>
    <w:multiLevelType w:val="hybridMultilevel"/>
    <w:tmpl w:val="AC56F9CC"/>
    <w:lvl w:ilvl="0" w:tplc="38A20FFC">
      <w:start w:val="5"/>
      <w:numFmt w:val="decimal"/>
      <w:lvlText w:val="2.5.4.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502"/>
    <w:multiLevelType w:val="hybridMultilevel"/>
    <w:tmpl w:val="575602B4"/>
    <w:lvl w:ilvl="0" w:tplc="969E9062">
      <w:start w:val="5"/>
      <w:numFmt w:val="decimal"/>
      <w:lvlText w:val="2.5.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9387B"/>
    <w:multiLevelType w:val="hybridMultilevel"/>
    <w:tmpl w:val="C2D29CDA"/>
    <w:lvl w:ilvl="0" w:tplc="ED0A574E">
      <w:start w:val="1"/>
      <w:numFmt w:val="decimal"/>
      <w:lvlText w:val="2.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D362E"/>
    <w:multiLevelType w:val="hybridMultilevel"/>
    <w:tmpl w:val="71F07C0E"/>
    <w:lvl w:ilvl="0" w:tplc="D158AEC6">
      <w:start w:val="5"/>
      <w:numFmt w:val="decimal"/>
      <w:lvlText w:val="2.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2B1508E"/>
    <w:multiLevelType w:val="hybridMultilevel"/>
    <w:tmpl w:val="41189B14"/>
    <w:lvl w:ilvl="0" w:tplc="969E9062">
      <w:start w:val="5"/>
      <w:numFmt w:val="decimal"/>
      <w:lvlText w:val="2.5.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D35"/>
    <w:multiLevelType w:val="hybridMultilevel"/>
    <w:tmpl w:val="EB8623A2"/>
    <w:lvl w:ilvl="0" w:tplc="601A5F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3l/Kzm/iGhrcpFzsIMNycqqePmm56g9PcATYtl2+wQd4YrBE+ABRxr8vRHOZAloDLZBXahCWkDaU2nRLVbXug==" w:salt="8aBuLIR2esgsRen3chtaP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07F9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91C6A"/>
    <w:rsid w:val="000A4971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65FD"/>
    <w:rsid w:val="00116891"/>
    <w:rsid w:val="001257C0"/>
    <w:rsid w:val="00130839"/>
    <w:rsid w:val="00135CEF"/>
    <w:rsid w:val="001361DC"/>
    <w:rsid w:val="00142D2A"/>
    <w:rsid w:val="00146A1B"/>
    <w:rsid w:val="001540AD"/>
    <w:rsid w:val="00165E45"/>
    <w:rsid w:val="0016605B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1AEE"/>
    <w:rsid w:val="002E5566"/>
    <w:rsid w:val="00307BD5"/>
    <w:rsid w:val="003208BF"/>
    <w:rsid w:val="003262FD"/>
    <w:rsid w:val="00333509"/>
    <w:rsid w:val="0035012B"/>
    <w:rsid w:val="0035060D"/>
    <w:rsid w:val="0035227C"/>
    <w:rsid w:val="00361D01"/>
    <w:rsid w:val="003635AE"/>
    <w:rsid w:val="00374362"/>
    <w:rsid w:val="003904A5"/>
    <w:rsid w:val="00395953"/>
    <w:rsid w:val="003B107B"/>
    <w:rsid w:val="003B473A"/>
    <w:rsid w:val="003C10B3"/>
    <w:rsid w:val="003C5775"/>
    <w:rsid w:val="003C7887"/>
    <w:rsid w:val="003D4E99"/>
    <w:rsid w:val="003E034A"/>
    <w:rsid w:val="003E381B"/>
    <w:rsid w:val="003F527C"/>
    <w:rsid w:val="004238D5"/>
    <w:rsid w:val="00426F71"/>
    <w:rsid w:val="00430995"/>
    <w:rsid w:val="00432DF2"/>
    <w:rsid w:val="00441B22"/>
    <w:rsid w:val="0045500C"/>
    <w:rsid w:val="00463901"/>
    <w:rsid w:val="0048334D"/>
    <w:rsid w:val="00484D0C"/>
    <w:rsid w:val="00484E73"/>
    <w:rsid w:val="004909DF"/>
    <w:rsid w:val="004A26DB"/>
    <w:rsid w:val="004C4766"/>
    <w:rsid w:val="004C6A03"/>
    <w:rsid w:val="004C7E52"/>
    <w:rsid w:val="004D1162"/>
    <w:rsid w:val="004D75C2"/>
    <w:rsid w:val="00512B9A"/>
    <w:rsid w:val="00514A63"/>
    <w:rsid w:val="00535132"/>
    <w:rsid w:val="00554511"/>
    <w:rsid w:val="005549C6"/>
    <w:rsid w:val="005567C3"/>
    <w:rsid w:val="00562769"/>
    <w:rsid w:val="00577DE8"/>
    <w:rsid w:val="005805C6"/>
    <w:rsid w:val="00582BC0"/>
    <w:rsid w:val="00591623"/>
    <w:rsid w:val="00596449"/>
    <w:rsid w:val="005A20FA"/>
    <w:rsid w:val="005A2B42"/>
    <w:rsid w:val="005A3317"/>
    <w:rsid w:val="005B57C7"/>
    <w:rsid w:val="005B7620"/>
    <w:rsid w:val="005E149C"/>
    <w:rsid w:val="005F51B1"/>
    <w:rsid w:val="0060015E"/>
    <w:rsid w:val="006148DF"/>
    <w:rsid w:val="00617883"/>
    <w:rsid w:val="006213E3"/>
    <w:rsid w:val="00624B12"/>
    <w:rsid w:val="0062566B"/>
    <w:rsid w:val="00626644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911AF"/>
    <w:rsid w:val="00691ACE"/>
    <w:rsid w:val="006C655C"/>
    <w:rsid w:val="006C66B8"/>
    <w:rsid w:val="006E28AF"/>
    <w:rsid w:val="006F6677"/>
    <w:rsid w:val="00700898"/>
    <w:rsid w:val="0070589B"/>
    <w:rsid w:val="00715DE6"/>
    <w:rsid w:val="00717DBF"/>
    <w:rsid w:val="0072492B"/>
    <w:rsid w:val="00740524"/>
    <w:rsid w:val="00750BBC"/>
    <w:rsid w:val="00750CB2"/>
    <w:rsid w:val="00754B29"/>
    <w:rsid w:val="007668F4"/>
    <w:rsid w:val="007700DF"/>
    <w:rsid w:val="00781713"/>
    <w:rsid w:val="0079007B"/>
    <w:rsid w:val="007951F4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39AD"/>
    <w:rsid w:val="00824F3F"/>
    <w:rsid w:val="0082622C"/>
    <w:rsid w:val="00830F74"/>
    <w:rsid w:val="0084393C"/>
    <w:rsid w:val="00852660"/>
    <w:rsid w:val="00852DFE"/>
    <w:rsid w:val="0085392C"/>
    <w:rsid w:val="00854D1F"/>
    <w:rsid w:val="0086583E"/>
    <w:rsid w:val="00871C7A"/>
    <w:rsid w:val="00881453"/>
    <w:rsid w:val="00881F28"/>
    <w:rsid w:val="008952EF"/>
    <w:rsid w:val="00896C31"/>
    <w:rsid w:val="008A25A2"/>
    <w:rsid w:val="008A2830"/>
    <w:rsid w:val="008A6379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43E7"/>
    <w:rsid w:val="00905332"/>
    <w:rsid w:val="00907145"/>
    <w:rsid w:val="00912023"/>
    <w:rsid w:val="00925458"/>
    <w:rsid w:val="009331C0"/>
    <w:rsid w:val="009347B7"/>
    <w:rsid w:val="0094020B"/>
    <w:rsid w:val="00962259"/>
    <w:rsid w:val="00966D5A"/>
    <w:rsid w:val="009805D0"/>
    <w:rsid w:val="009921F9"/>
    <w:rsid w:val="00994BEC"/>
    <w:rsid w:val="009A2FCE"/>
    <w:rsid w:val="009A4087"/>
    <w:rsid w:val="009B0244"/>
    <w:rsid w:val="009B6EFD"/>
    <w:rsid w:val="009B7357"/>
    <w:rsid w:val="009D1621"/>
    <w:rsid w:val="009D4D8A"/>
    <w:rsid w:val="009D667B"/>
    <w:rsid w:val="009F4BEC"/>
    <w:rsid w:val="00A01AC5"/>
    <w:rsid w:val="00A10278"/>
    <w:rsid w:val="00A2553F"/>
    <w:rsid w:val="00A3216E"/>
    <w:rsid w:val="00A35B1C"/>
    <w:rsid w:val="00A46E18"/>
    <w:rsid w:val="00A56346"/>
    <w:rsid w:val="00A63F8C"/>
    <w:rsid w:val="00A7646F"/>
    <w:rsid w:val="00A815E8"/>
    <w:rsid w:val="00A97E70"/>
    <w:rsid w:val="00AA3AD8"/>
    <w:rsid w:val="00AB1B94"/>
    <w:rsid w:val="00AB6515"/>
    <w:rsid w:val="00AC44BC"/>
    <w:rsid w:val="00AD3289"/>
    <w:rsid w:val="00AD7F49"/>
    <w:rsid w:val="00AE6991"/>
    <w:rsid w:val="00AF28C2"/>
    <w:rsid w:val="00AF61E5"/>
    <w:rsid w:val="00B15B13"/>
    <w:rsid w:val="00B600D4"/>
    <w:rsid w:val="00B70E32"/>
    <w:rsid w:val="00B72BEE"/>
    <w:rsid w:val="00B84CFE"/>
    <w:rsid w:val="00B911CE"/>
    <w:rsid w:val="00BB5EDF"/>
    <w:rsid w:val="00BD7604"/>
    <w:rsid w:val="00BD7DC0"/>
    <w:rsid w:val="00BE738E"/>
    <w:rsid w:val="00BF4B44"/>
    <w:rsid w:val="00C0540C"/>
    <w:rsid w:val="00C108BC"/>
    <w:rsid w:val="00C131B0"/>
    <w:rsid w:val="00C22BF9"/>
    <w:rsid w:val="00C24F35"/>
    <w:rsid w:val="00C35EF3"/>
    <w:rsid w:val="00C42F57"/>
    <w:rsid w:val="00C47C38"/>
    <w:rsid w:val="00C83ED0"/>
    <w:rsid w:val="00C93F11"/>
    <w:rsid w:val="00CA1BD6"/>
    <w:rsid w:val="00CF1ACE"/>
    <w:rsid w:val="00D246C4"/>
    <w:rsid w:val="00D25F5C"/>
    <w:rsid w:val="00D4374B"/>
    <w:rsid w:val="00D46D38"/>
    <w:rsid w:val="00D647F5"/>
    <w:rsid w:val="00D65FF6"/>
    <w:rsid w:val="00DA6DF5"/>
    <w:rsid w:val="00DB3CC5"/>
    <w:rsid w:val="00DD02E1"/>
    <w:rsid w:val="00DD1CD7"/>
    <w:rsid w:val="00DD5733"/>
    <w:rsid w:val="00DE5C80"/>
    <w:rsid w:val="00E04975"/>
    <w:rsid w:val="00E118E0"/>
    <w:rsid w:val="00E216DC"/>
    <w:rsid w:val="00E24AED"/>
    <w:rsid w:val="00E277BF"/>
    <w:rsid w:val="00E353E7"/>
    <w:rsid w:val="00E37E9D"/>
    <w:rsid w:val="00E6049D"/>
    <w:rsid w:val="00E758DF"/>
    <w:rsid w:val="00E77355"/>
    <w:rsid w:val="00E84E4F"/>
    <w:rsid w:val="00E86AF7"/>
    <w:rsid w:val="00E87946"/>
    <w:rsid w:val="00E9591B"/>
    <w:rsid w:val="00EB2270"/>
    <w:rsid w:val="00EC501D"/>
    <w:rsid w:val="00EE118A"/>
    <w:rsid w:val="00EE54BA"/>
    <w:rsid w:val="00EF12D4"/>
    <w:rsid w:val="00EF1FB1"/>
    <w:rsid w:val="00EF324B"/>
    <w:rsid w:val="00EF4383"/>
    <w:rsid w:val="00F0663C"/>
    <w:rsid w:val="00F06AFA"/>
    <w:rsid w:val="00F26930"/>
    <w:rsid w:val="00F34BEC"/>
    <w:rsid w:val="00F35865"/>
    <w:rsid w:val="00F419D0"/>
    <w:rsid w:val="00F50204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E1140"/>
    <w:rsid w:val="00FE25C1"/>
    <w:rsid w:val="00FE5C1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5C10FCB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  <w:style w:type="paragraph" w:styleId="ListParagraph">
    <w:name w:val="List Paragraph"/>
    <w:basedOn w:val="Normal"/>
    <w:uiPriority w:val="34"/>
    <w:qFormat/>
    <w:rsid w:val="00D6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781EB1-9F1B-45B1-8716-CD3A705C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1472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3</cp:revision>
  <cp:lastPrinted>2018-02-05T21:22:00Z</cp:lastPrinted>
  <dcterms:created xsi:type="dcterms:W3CDTF">2019-07-26T16:04:00Z</dcterms:created>
  <dcterms:modified xsi:type="dcterms:W3CDTF">2019-07-26T16:04:00Z</dcterms:modified>
</cp:coreProperties>
</file>